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 w:hAnsi="仿宋" w:eastAsia="仿宋"/>
          <w:sz w:val="32"/>
          <w:szCs w:val="32"/>
          <w:lang w:val="en-US" w:eastAsia="zh-CN"/>
        </w:rPr>
      </w:pPr>
      <w:bookmarkStart w:id="77" w:name="_GoBack"/>
      <w:bookmarkEnd w:id="77"/>
      <w:r>
        <w:rPr>
          <w:rFonts w:hint="eastAsia" w:ascii="仿宋" w:hAnsi="仿宋" w:eastAsia="仿宋"/>
          <w:sz w:val="32"/>
          <w:szCs w:val="32"/>
          <w:lang w:eastAsia="zh-CN"/>
        </w:rPr>
        <w:t>附件</w:t>
      </w:r>
      <w:r>
        <w:rPr>
          <w:rFonts w:hint="eastAsia" w:ascii="仿宋" w:hAnsi="仿宋" w:eastAsia="仿宋"/>
          <w:sz w:val="32"/>
          <w:szCs w:val="32"/>
          <w:lang w:val="en-US" w:eastAsia="zh-CN"/>
        </w:rPr>
        <w:t>1</w:t>
      </w:r>
    </w:p>
    <w:p>
      <w:pPr>
        <w:spacing w:line="560" w:lineRule="exact"/>
        <w:jc w:val="both"/>
        <w:rPr>
          <w:rFonts w:hint="default" w:ascii="方正小标宋简体" w:hAnsi="方正小标宋简体" w:eastAsia="方正小标宋简体" w:cs="方正小标宋简体"/>
          <w:sz w:val="44"/>
          <w:szCs w:val="44"/>
          <w:lang w:val="en-US" w:eastAsia="zh-CN"/>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北京市人民防空工程防护效能完好性评估办法</w:t>
      </w:r>
    </w:p>
    <w:p>
      <w:pPr>
        <w:spacing w:line="560" w:lineRule="exact"/>
        <w:jc w:val="center"/>
        <w:rPr>
          <w:rFonts w:ascii="宋体" w:hAnsi="宋体" w:eastAsia="宋体"/>
          <w:sz w:val="44"/>
          <w:szCs w:val="44"/>
        </w:rPr>
      </w:pPr>
    </w:p>
    <w:p>
      <w:pPr>
        <w:spacing w:line="560" w:lineRule="exact"/>
        <w:jc w:val="center"/>
        <w:outlineLvl w:val="0"/>
        <w:rPr>
          <w:rFonts w:ascii="宋体" w:hAnsi="宋体" w:eastAsia="宋体"/>
          <w:b/>
          <w:bCs/>
          <w:sz w:val="36"/>
          <w:szCs w:val="36"/>
        </w:rPr>
      </w:pPr>
      <w:bookmarkStart w:id="0" w:name="_Toc239951067"/>
      <w:r>
        <w:rPr>
          <w:rFonts w:hint="eastAsia" w:ascii="黑体" w:hAnsi="黑体" w:eastAsia="黑体" w:cs="黑体"/>
          <w:sz w:val="32"/>
          <w:szCs w:val="32"/>
        </w:rPr>
        <w:t>第一章 总则</w:t>
      </w:r>
      <w:bookmarkEnd w:id="0"/>
    </w:p>
    <w:p>
      <w:pPr>
        <w:spacing w:line="560" w:lineRule="exact"/>
        <w:ind w:firstLine="640" w:firstLineChars="200"/>
        <w:rPr>
          <w:rFonts w:ascii="仿宋" w:hAnsi="仿宋" w:eastAsia="仿宋"/>
          <w:sz w:val="32"/>
          <w:szCs w:val="32"/>
        </w:rPr>
      </w:pPr>
      <w:bookmarkStart w:id="1" w:name="OLE_LINK15"/>
      <w:bookmarkStart w:id="2" w:name="OLE_LINK14"/>
      <w:r>
        <w:rPr>
          <w:rFonts w:hint="eastAsia" w:ascii="黑体" w:hAnsi="黑体" w:eastAsia="黑体" w:cs="黑体"/>
          <w:kern w:val="0"/>
          <w:sz w:val="32"/>
          <w:szCs w:val="32"/>
        </w:rPr>
        <w:t>第一条</w:t>
      </w:r>
      <w:bookmarkEnd w:id="1"/>
      <w:bookmarkEnd w:id="2"/>
      <w:r>
        <w:rPr>
          <w:rFonts w:ascii="仿宋" w:hAnsi="仿宋" w:eastAsia="仿宋" w:cs="Times New Roman"/>
          <w:kern w:val="0"/>
          <w:sz w:val="32"/>
          <w:szCs w:val="32"/>
        </w:rPr>
        <w:t xml:space="preserve"> </w:t>
      </w:r>
      <w:r>
        <w:rPr>
          <w:rFonts w:ascii="仿宋" w:hAnsi="仿宋" w:eastAsia="仿宋"/>
          <w:sz w:val="32"/>
          <w:szCs w:val="32"/>
        </w:rPr>
        <w:t>为规范北京市</w:t>
      </w:r>
      <w:r>
        <w:rPr>
          <w:rFonts w:hint="eastAsia" w:ascii="仿宋" w:hAnsi="仿宋" w:eastAsia="仿宋"/>
          <w:sz w:val="32"/>
          <w:szCs w:val="32"/>
        </w:rPr>
        <w:t>人民防空工程（以下简称人防工程）防护效能完好性评估</w:t>
      </w:r>
      <w:r>
        <w:rPr>
          <w:rFonts w:ascii="仿宋" w:hAnsi="仿宋" w:eastAsia="仿宋"/>
          <w:sz w:val="32"/>
          <w:szCs w:val="32"/>
        </w:rPr>
        <w:t>工作，科学判定人防工程</w:t>
      </w:r>
      <w:r>
        <w:rPr>
          <w:rFonts w:hint="eastAsia" w:ascii="仿宋" w:hAnsi="仿宋" w:eastAsia="仿宋"/>
          <w:sz w:val="32"/>
          <w:szCs w:val="32"/>
        </w:rPr>
        <w:t>战时</w:t>
      </w:r>
      <w:r>
        <w:rPr>
          <w:rFonts w:ascii="仿宋" w:hAnsi="仿宋" w:eastAsia="仿宋"/>
          <w:sz w:val="32"/>
          <w:szCs w:val="32"/>
        </w:rPr>
        <w:t>防护功能、使用功能完好状态，为工程维护管理、维修改造、处置利用提供技术依据，</w:t>
      </w:r>
      <w:r>
        <w:rPr>
          <w:rFonts w:hint="eastAsia" w:ascii="仿宋" w:hAnsi="仿宋" w:eastAsia="仿宋"/>
          <w:sz w:val="32"/>
          <w:szCs w:val="32"/>
        </w:rPr>
        <w:t>根据《中华人民共和国人民防空法》《人民防空工程开发利用和维护管理办法》等法律法规，</w:t>
      </w:r>
      <w:r>
        <w:rPr>
          <w:rFonts w:ascii="仿宋" w:hAnsi="仿宋" w:eastAsia="仿宋"/>
          <w:sz w:val="32"/>
          <w:szCs w:val="32"/>
        </w:rPr>
        <w:t>结合本市实际，制定本办法。</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第二条</w:t>
      </w:r>
      <w:r>
        <w:rPr>
          <w:rFonts w:ascii="仿宋" w:hAnsi="仿宋" w:eastAsia="仿宋" w:cs="Times New Roman"/>
          <w:kern w:val="0"/>
          <w:sz w:val="32"/>
          <w:szCs w:val="32"/>
        </w:rPr>
        <w:t xml:space="preserve"> </w:t>
      </w:r>
      <w:r>
        <w:rPr>
          <w:rFonts w:hint="eastAsia" w:ascii="仿宋" w:hAnsi="仿宋" w:eastAsia="仿宋"/>
          <w:sz w:val="32"/>
          <w:szCs w:val="32"/>
        </w:rPr>
        <w:t>本办法适用于北京市管理范围内除指挥工程外的各类人防工程的防护效能</w:t>
      </w:r>
      <w:r>
        <w:rPr>
          <w:rFonts w:ascii="仿宋" w:hAnsi="仿宋" w:eastAsia="仿宋"/>
          <w:sz w:val="32"/>
          <w:szCs w:val="32"/>
        </w:rPr>
        <w:t>完好性评估</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第三条</w:t>
      </w:r>
      <w:r>
        <w:rPr>
          <w:rFonts w:ascii="仿宋" w:hAnsi="仿宋" w:eastAsia="仿宋"/>
          <w:sz w:val="32"/>
          <w:szCs w:val="32"/>
        </w:rPr>
        <w:t xml:space="preserve"> 本办法规</w:t>
      </w:r>
      <w:r>
        <w:rPr>
          <w:rFonts w:hint="eastAsia" w:ascii="仿宋" w:hAnsi="仿宋" w:eastAsia="仿宋"/>
          <w:sz w:val="32"/>
          <w:szCs w:val="32"/>
        </w:rPr>
        <w:t>定了</w:t>
      </w:r>
      <w:r>
        <w:rPr>
          <w:rFonts w:ascii="仿宋" w:hAnsi="仿宋" w:eastAsia="仿宋"/>
          <w:sz w:val="32"/>
          <w:szCs w:val="32"/>
        </w:rPr>
        <w:t>人防工程</w:t>
      </w:r>
      <w:r>
        <w:rPr>
          <w:rFonts w:hint="eastAsia" w:ascii="仿宋" w:hAnsi="仿宋" w:eastAsia="仿宋"/>
          <w:sz w:val="32"/>
          <w:szCs w:val="32"/>
        </w:rPr>
        <w:t>防护效能</w:t>
      </w:r>
      <w:r>
        <w:rPr>
          <w:rFonts w:ascii="仿宋" w:hAnsi="仿宋" w:eastAsia="仿宋"/>
          <w:sz w:val="32"/>
          <w:szCs w:val="32"/>
        </w:rPr>
        <w:t>完好性评估的</w:t>
      </w:r>
      <w:r>
        <w:rPr>
          <w:rFonts w:hint="eastAsia" w:ascii="仿宋" w:hAnsi="仿宋" w:eastAsia="仿宋"/>
          <w:sz w:val="32"/>
          <w:szCs w:val="32"/>
        </w:rPr>
        <w:t>基本要求、职能分工、工作实施、综合等级判定规则、评估成果与处置、档案管理</w:t>
      </w:r>
      <w:r>
        <w:rPr>
          <w:rFonts w:ascii="仿宋" w:hAnsi="仿宋" w:eastAsia="仿宋"/>
          <w:sz w:val="32"/>
          <w:szCs w:val="32"/>
        </w:rPr>
        <w:t>等工作要求。</w:t>
      </w:r>
    </w:p>
    <w:p>
      <w:pPr>
        <w:spacing w:line="560" w:lineRule="exact"/>
        <w:ind w:firstLine="640" w:firstLineChars="200"/>
        <w:rPr>
          <w:rFonts w:ascii="仿宋" w:hAnsi="仿宋" w:eastAsia="仿宋"/>
          <w:sz w:val="32"/>
          <w:szCs w:val="32"/>
        </w:rPr>
      </w:pPr>
      <w:r>
        <w:rPr>
          <w:rFonts w:ascii="仿宋" w:hAnsi="仿宋" w:eastAsia="仿宋"/>
          <w:sz w:val="32"/>
          <w:szCs w:val="32"/>
        </w:rPr>
        <w:t>本办法所称人防工程</w:t>
      </w:r>
      <w:r>
        <w:rPr>
          <w:rFonts w:hint="eastAsia" w:ascii="仿宋" w:hAnsi="仿宋" w:eastAsia="仿宋"/>
          <w:sz w:val="32"/>
          <w:szCs w:val="32"/>
        </w:rPr>
        <w:t>防护效能</w:t>
      </w:r>
      <w:r>
        <w:rPr>
          <w:rFonts w:ascii="仿宋" w:hAnsi="仿宋" w:eastAsia="仿宋"/>
          <w:sz w:val="32"/>
          <w:szCs w:val="32"/>
        </w:rPr>
        <w:t>完好性</w:t>
      </w:r>
      <w:r>
        <w:rPr>
          <w:rFonts w:hint="eastAsia" w:ascii="仿宋" w:hAnsi="仿宋" w:eastAsia="仿宋"/>
          <w:sz w:val="32"/>
          <w:szCs w:val="32"/>
        </w:rPr>
        <w:t>，</w:t>
      </w:r>
      <w:r>
        <w:rPr>
          <w:rFonts w:ascii="仿宋" w:hAnsi="仿宋" w:eastAsia="仿宋"/>
          <w:sz w:val="32"/>
          <w:szCs w:val="32"/>
        </w:rPr>
        <w:t>是指</w:t>
      </w:r>
      <w:r>
        <w:rPr>
          <w:rFonts w:hint="eastAsia" w:ascii="仿宋" w:hAnsi="仿宋" w:eastAsia="仿宋"/>
          <w:sz w:val="32"/>
          <w:szCs w:val="32"/>
        </w:rPr>
        <w:t>对</w:t>
      </w:r>
      <w:r>
        <w:rPr>
          <w:rFonts w:hint="eastAsia" w:ascii="仿宋" w:hAnsi="仿宋" w:eastAsia="仿宋"/>
          <w:color w:val="auto"/>
          <w:sz w:val="32"/>
          <w:szCs w:val="32"/>
        </w:rPr>
        <w:t>人防工程</w:t>
      </w:r>
      <w:r>
        <w:rPr>
          <w:rFonts w:hint="eastAsia" w:ascii="仿宋" w:hAnsi="仿宋" w:eastAsia="仿宋"/>
          <w:sz w:val="32"/>
          <w:szCs w:val="32"/>
        </w:rPr>
        <w:t>战时</w:t>
      </w:r>
      <w:r>
        <w:rPr>
          <w:rFonts w:ascii="仿宋" w:hAnsi="仿宋" w:eastAsia="仿宋"/>
          <w:sz w:val="32"/>
          <w:szCs w:val="32"/>
        </w:rPr>
        <w:t>能够实现</w:t>
      </w:r>
      <w:r>
        <w:rPr>
          <w:rFonts w:hint="eastAsia" w:ascii="仿宋" w:hAnsi="仿宋" w:eastAsia="仿宋"/>
          <w:sz w:val="32"/>
          <w:szCs w:val="32"/>
        </w:rPr>
        <w:t>其</w:t>
      </w:r>
      <w:r>
        <w:rPr>
          <w:rFonts w:ascii="仿宋" w:hAnsi="仿宋" w:eastAsia="仿宋"/>
          <w:sz w:val="32"/>
          <w:szCs w:val="32"/>
        </w:rPr>
        <w:t>预设防护功能与使用功能的能力。</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第四条</w:t>
      </w:r>
      <w:r>
        <w:rPr>
          <w:rFonts w:ascii="仿宋" w:hAnsi="仿宋" w:eastAsia="仿宋"/>
          <w:sz w:val="32"/>
          <w:szCs w:val="32"/>
        </w:rPr>
        <w:t xml:space="preserve"> 开展人防工程</w:t>
      </w:r>
      <w:r>
        <w:rPr>
          <w:rFonts w:hint="eastAsia" w:ascii="仿宋" w:hAnsi="仿宋" w:eastAsia="仿宋"/>
          <w:sz w:val="32"/>
          <w:szCs w:val="32"/>
        </w:rPr>
        <w:t>防护效能</w:t>
      </w:r>
      <w:r>
        <w:rPr>
          <w:rFonts w:ascii="仿宋" w:hAnsi="仿宋" w:eastAsia="仿宋"/>
          <w:sz w:val="32"/>
          <w:szCs w:val="32"/>
        </w:rPr>
        <w:t>完好性评估，除执行本办法外，尚应符合国家现行相关标准规范</w:t>
      </w:r>
      <w:r>
        <w:rPr>
          <w:rFonts w:hint="eastAsia" w:ascii="仿宋" w:hAnsi="仿宋" w:eastAsia="仿宋"/>
          <w:sz w:val="32"/>
          <w:szCs w:val="32"/>
        </w:rPr>
        <w:t>的规定</w:t>
      </w:r>
      <w:r>
        <w:rPr>
          <w:rFonts w:ascii="仿宋" w:hAnsi="仿宋" w:eastAsia="仿宋"/>
          <w:sz w:val="32"/>
          <w:szCs w:val="32"/>
        </w:rPr>
        <w:t>。</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3" w:name="_Toc239951068"/>
      <w:r>
        <w:rPr>
          <w:rFonts w:hint="eastAsia" w:ascii="黑体" w:hAnsi="黑体" w:eastAsia="黑体" w:cs="黑体"/>
          <w:sz w:val="32"/>
          <w:szCs w:val="32"/>
        </w:rPr>
        <w:t>第二章 评估基本要求</w:t>
      </w:r>
      <w:bookmarkEnd w:id="3"/>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第五条</w:t>
      </w:r>
      <w:r>
        <w:rPr>
          <w:rFonts w:ascii="仿宋" w:hAnsi="仿宋" w:eastAsia="仿宋"/>
          <w:sz w:val="32"/>
          <w:szCs w:val="32"/>
        </w:rPr>
        <w:t xml:space="preserve"> 评估以防护单元为</w:t>
      </w:r>
      <w:r>
        <w:rPr>
          <w:rFonts w:hint="eastAsia" w:ascii="仿宋" w:hAnsi="仿宋" w:eastAsia="仿宋"/>
          <w:sz w:val="32"/>
          <w:szCs w:val="32"/>
        </w:rPr>
        <w:t>基本</w:t>
      </w:r>
      <w:r>
        <w:rPr>
          <w:rFonts w:ascii="仿宋" w:hAnsi="仿宋" w:eastAsia="仿宋"/>
          <w:sz w:val="32"/>
          <w:szCs w:val="32"/>
        </w:rPr>
        <w:t>独立</w:t>
      </w:r>
      <w:r>
        <w:rPr>
          <w:rFonts w:hint="eastAsia" w:ascii="仿宋" w:hAnsi="仿宋" w:eastAsia="仿宋"/>
          <w:sz w:val="32"/>
          <w:szCs w:val="32"/>
        </w:rPr>
        <w:t>评估单位</w:t>
      </w:r>
      <w:r>
        <w:rPr>
          <w:rFonts w:ascii="仿宋" w:hAnsi="仿宋" w:eastAsia="仿宋"/>
          <w:sz w:val="32"/>
          <w:szCs w:val="32"/>
        </w:rPr>
        <w:t>，每个防护单元单独开展现场检查、分项判定、出具单元评估结论。</w:t>
      </w:r>
    </w:p>
    <w:p>
      <w:pPr>
        <w:spacing w:line="560" w:lineRule="exact"/>
        <w:ind w:firstLine="640" w:firstLineChars="200"/>
        <w:rPr>
          <w:rFonts w:ascii="仿宋" w:hAnsi="仿宋" w:eastAsia="仿宋"/>
          <w:sz w:val="32"/>
          <w:szCs w:val="32"/>
        </w:rPr>
      </w:pPr>
      <w:r>
        <w:rPr>
          <w:rFonts w:ascii="仿宋" w:hAnsi="仿宋" w:eastAsia="仿宋"/>
          <w:sz w:val="32"/>
          <w:szCs w:val="32"/>
        </w:rPr>
        <w:t>同一评估项存在多台/樘同类设备，应逐件检测；该评估项的判定等级取全部设备中的最低等级。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第六条</w:t>
      </w:r>
      <w:r>
        <w:rPr>
          <w:rFonts w:ascii="仿宋" w:hAnsi="仿宋" w:eastAsia="仿宋"/>
          <w:sz w:val="32"/>
          <w:szCs w:val="32"/>
        </w:rPr>
        <w:t xml:space="preserve"> 各专业单项评估分为绿色、黄色、红色三个等级，按下列规定</w:t>
      </w:r>
      <w:r>
        <w:rPr>
          <w:rFonts w:hint="eastAsia" w:ascii="仿宋" w:hAnsi="仿宋" w:eastAsia="仿宋"/>
          <w:sz w:val="32"/>
          <w:szCs w:val="32"/>
        </w:rPr>
        <w:t>评定</w:t>
      </w:r>
      <w:r>
        <w:rPr>
          <w:rFonts w:ascii="仿宋" w:hAnsi="仿宋" w:eastAsia="仿宋"/>
          <w:sz w:val="32"/>
          <w:szCs w:val="32"/>
        </w:rPr>
        <w:t>：</w:t>
      </w:r>
    </w:p>
    <w:p>
      <w:pPr>
        <w:spacing w:line="560" w:lineRule="exact"/>
        <w:ind w:firstLine="640" w:firstLineChars="200"/>
        <w:rPr>
          <w:rFonts w:ascii="仿宋" w:hAnsi="仿宋" w:eastAsia="仿宋"/>
          <w:sz w:val="32"/>
          <w:szCs w:val="32"/>
        </w:rPr>
      </w:pPr>
      <w:bookmarkStart w:id="4" w:name="OLE_LINK4"/>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End w:id="4"/>
      <w:r>
        <w:rPr>
          <w:rFonts w:ascii="仿宋" w:hAnsi="仿宋" w:eastAsia="仿宋"/>
          <w:sz w:val="32"/>
          <w:szCs w:val="32"/>
        </w:rPr>
        <w:t xml:space="preserve"> 绿色：评估项全部指标满足人防防护、战时使用要求，无缺陷，</w:t>
      </w:r>
      <w:r>
        <w:rPr>
          <w:rFonts w:hint="eastAsia" w:ascii="仿宋" w:hAnsi="仿宋" w:eastAsia="仿宋"/>
          <w:sz w:val="32"/>
          <w:szCs w:val="32"/>
        </w:rPr>
        <w:t>代表合格</w:t>
      </w:r>
      <w:r>
        <w:rPr>
          <w:rFonts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 黄色：评估项存在局部缺陷，通过维修、更换构件、局部土建改造、增补设备即可达到合格要求，代表维修/改造</w:t>
      </w:r>
      <w:r>
        <w:rPr>
          <w:rFonts w:hint="eastAsia" w:ascii="仿宋" w:hAnsi="仿宋" w:eastAsia="仿宋"/>
          <w:sz w:val="32"/>
          <w:szCs w:val="32"/>
        </w:rPr>
        <w:t>后可</w:t>
      </w:r>
      <w:r>
        <w:rPr>
          <w:rFonts w:ascii="仿宋" w:hAnsi="仿宋" w:eastAsia="仿宋"/>
          <w:sz w:val="32"/>
          <w:szCs w:val="32"/>
        </w:rPr>
        <w:t>合格。</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 红色：评估项存在根本性防护缺陷，不具备维修改造条件，</w:t>
      </w:r>
      <w:bookmarkStart w:id="5" w:name="OLE_LINK18"/>
      <w:bookmarkStart w:id="6" w:name="OLE_LINK19"/>
      <w:r>
        <w:rPr>
          <w:rFonts w:ascii="仿宋" w:hAnsi="仿宋" w:eastAsia="仿宋"/>
          <w:sz w:val="32"/>
          <w:szCs w:val="32"/>
        </w:rPr>
        <w:t>或改造经济成本过高，无实施改造价值</w:t>
      </w:r>
      <w:bookmarkEnd w:id="5"/>
      <w:bookmarkEnd w:id="6"/>
      <w:r>
        <w:rPr>
          <w:rFonts w:ascii="仿宋" w:hAnsi="仿宋" w:eastAsia="仿宋"/>
          <w:sz w:val="32"/>
          <w:szCs w:val="32"/>
        </w:rPr>
        <w:t>，代表不合格。</w:t>
      </w:r>
    </w:p>
    <w:p>
      <w:pPr>
        <w:spacing w:line="560" w:lineRule="exact"/>
        <w:ind w:firstLine="640" w:firstLineChars="200"/>
        <w:rPr>
          <w:rFonts w:ascii="仿宋" w:hAnsi="仿宋" w:eastAsia="仿宋"/>
          <w:sz w:val="32"/>
          <w:szCs w:val="32"/>
        </w:rPr>
      </w:pPr>
      <w:bookmarkStart w:id="7" w:name="OLE_LINK16"/>
      <w:bookmarkStart w:id="8" w:name="OLE_LINK17"/>
      <w:r>
        <w:rPr>
          <w:rFonts w:hint="eastAsia" w:ascii="黑体" w:hAnsi="黑体" w:eastAsia="黑体" w:cs="黑体"/>
          <w:kern w:val="0"/>
          <w:sz w:val="32"/>
          <w:szCs w:val="32"/>
        </w:rPr>
        <w:t>第七条</w:t>
      </w:r>
      <w:bookmarkEnd w:id="7"/>
      <w:bookmarkEnd w:id="8"/>
      <w:r>
        <w:rPr>
          <w:rFonts w:ascii="仿宋" w:hAnsi="仿宋" w:eastAsia="仿宋"/>
          <w:sz w:val="32"/>
          <w:szCs w:val="32"/>
        </w:rPr>
        <w:t xml:space="preserve"> 评估主要采取查阅工程档案资料（竣工图纸、验收文件、维护记录）、现场实地核查、设备操作测试相结合的方式开展。</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r>
        <w:rPr>
          <w:rFonts w:hint="eastAsia" w:ascii="黑体" w:hAnsi="黑体" w:eastAsia="黑体" w:cs="黑体"/>
          <w:sz w:val="32"/>
          <w:szCs w:val="32"/>
        </w:rPr>
        <w:t>第三章 职能分工</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第八条</w:t>
      </w:r>
      <w:r>
        <w:rPr>
          <w:rFonts w:ascii="仿宋" w:hAnsi="仿宋" w:eastAsia="仿宋"/>
          <w:sz w:val="32"/>
          <w:szCs w:val="32"/>
        </w:rPr>
        <w:t xml:space="preserve"> </w:t>
      </w:r>
      <w:r>
        <w:rPr>
          <w:rFonts w:hint="eastAsia" w:ascii="仿宋" w:hAnsi="仿宋" w:eastAsia="仿宋"/>
          <w:sz w:val="32"/>
          <w:szCs w:val="32"/>
        </w:rPr>
        <w:t>北京市国防动员办公室</w:t>
      </w:r>
      <w:bookmarkStart w:id="9" w:name="OLE_LINK57"/>
      <w:r>
        <w:rPr>
          <w:rFonts w:hint="eastAsia" w:ascii="仿宋" w:hAnsi="仿宋" w:eastAsia="仿宋"/>
          <w:sz w:val="32"/>
          <w:szCs w:val="32"/>
        </w:rPr>
        <w:t>（以下简称市国动办）</w:t>
      </w:r>
      <w:bookmarkEnd w:id="9"/>
      <w:r>
        <w:rPr>
          <w:rFonts w:hint="eastAsia" w:ascii="仿宋" w:hAnsi="仿宋" w:eastAsia="仿宋"/>
          <w:sz w:val="32"/>
          <w:szCs w:val="32"/>
        </w:rPr>
        <w:t>统筹全市人防工程防护效能完好性评估管理工作，履行以下职责：</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r>
        <w:rPr>
          <w:rFonts w:hint="eastAsia" w:ascii="仿宋" w:hAnsi="仿宋" w:eastAsia="仿宋"/>
          <w:sz w:val="32"/>
          <w:szCs w:val="32"/>
        </w:rPr>
        <w:t>负责本办法解释宣贯、业务指导，统筹全市评估工作部署；</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监督检查各区评估组织实施、问题整改、处置落实情况；</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掌握全市人防工程评估总体情况，汇总分析全市评估成果，建立全市评估信息台账；</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指导重大、复杂人防工程评估及红色等级防护单元专题处置工作；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组织开展评估业务培训，规范评估工作流程与成果质量；</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六</w:t>
      </w:r>
      <w:r>
        <w:rPr>
          <w:rFonts w:ascii="仿宋" w:hAnsi="仿宋" w:eastAsia="仿宋"/>
          <w:sz w:val="32"/>
          <w:szCs w:val="32"/>
        </w:rPr>
        <w:t>）</w:t>
      </w:r>
      <w:r>
        <w:rPr>
          <w:rFonts w:hint="eastAsia" w:ascii="仿宋" w:hAnsi="仿宋" w:eastAsia="仿宋"/>
          <w:sz w:val="32"/>
          <w:szCs w:val="32"/>
        </w:rPr>
        <w:t>按权限做好市级层面评估档案归集、保管、利用管理。</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第九条</w:t>
      </w:r>
      <w:r>
        <w:rPr>
          <w:rFonts w:ascii="仿宋" w:hAnsi="仿宋" w:eastAsia="仿宋"/>
          <w:sz w:val="32"/>
          <w:szCs w:val="32"/>
        </w:rPr>
        <w:t xml:space="preserve"> </w:t>
      </w:r>
      <w:r>
        <w:rPr>
          <w:rFonts w:hint="eastAsia" w:ascii="仿宋" w:hAnsi="仿宋" w:eastAsia="仿宋"/>
          <w:sz w:val="32"/>
          <w:szCs w:val="32"/>
        </w:rPr>
        <w:t>各区国防动员办公室（以下简称区国动办）负责本行政区域内人防工程防护效能完好性评估的组织实施与闭环管理，履行以下职责：</w:t>
      </w:r>
    </w:p>
    <w:p>
      <w:pPr>
        <w:spacing w:line="560" w:lineRule="exact"/>
        <w:ind w:firstLine="640" w:firstLineChars="200"/>
        <w:rPr>
          <w:rFonts w:ascii="仿宋" w:hAnsi="仿宋" w:eastAsia="仿宋"/>
          <w:sz w:val="32"/>
          <w:szCs w:val="32"/>
        </w:rPr>
      </w:pPr>
      <w:bookmarkStart w:id="10" w:name="OLE_LINK48"/>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End w:id="10"/>
      <w:r>
        <w:rPr>
          <w:rFonts w:hint="eastAsia" w:ascii="仿宋" w:hAnsi="仿宋" w:eastAsia="仿宋"/>
          <w:sz w:val="32"/>
          <w:szCs w:val="32"/>
        </w:rPr>
        <w:t>组织开展辖区内人防工程防护效能完好性评估工作，监督管理工程</w:t>
      </w:r>
      <w:r>
        <w:rPr>
          <w:rFonts w:hint="eastAsia" w:ascii="仿宋" w:hAnsi="仿宋" w:eastAsia="仿宋"/>
          <w:color w:val="000000" w:themeColor="text1"/>
          <w:sz w:val="32"/>
          <w:szCs w:val="32"/>
          <w14:textFill>
            <w14:solidFill>
              <w14:schemeClr w14:val="tx1"/>
            </w14:solidFill>
          </w14:textFill>
        </w:rPr>
        <w:t>管理单位</w:t>
      </w:r>
      <w:r>
        <w:rPr>
          <w:rFonts w:hint="eastAsia" w:ascii="仿宋" w:hAnsi="仿宋" w:eastAsia="仿宋"/>
          <w:sz w:val="32"/>
          <w:szCs w:val="32"/>
        </w:rPr>
        <w:t>落实评估、整改、复核评估工作；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核查评估报告、检查表等成果资料，对评估实施过程开展监督；</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对黄色等级防护单元督促管理单位落实限期整改并进行复核评估；对红色等级防护单元组织开展专题研判，提出退出战备、报废等初步处置意见，按程序上报；</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建立本区人防工程评估台账，动态更新各防护单元评估等级、缺陷清单、整改及处置进展；</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负责本区评估档案收集、归档保管，按要求向市国动办报送评估汇总资料；</w:t>
      </w:r>
    </w:p>
    <w:p>
      <w:pPr>
        <w:spacing w:line="560" w:lineRule="exact"/>
        <w:ind w:firstLine="640" w:firstLineChars="200"/>
        <w:rPr>
          <w:rFonts w:ascii="仿宋" w:hAnsi="仿宋" w:eastAsia="仿宋"/>
          <w:sz w:val="32"/>
          <w:szCs w:val="32"/>
        </w:rPr>
      </w:pPr>
      <w:r>
        <w:rPr>
          <w:rFonts w:ascii="仿宋" w:hAnsi="仿宋" w:eastAsia="仿宋"/>
          <w:sz w:val="32"/>
          <w:szCs w:val="32"/>
        </w:rPr>
        <w:t>（六）</w:t>
      </w:r>
      <w:r>
        <w:rPr>
          <w:rFonts w:hint="eastAsia" w:ascii="仿宋" w:hAnsi="仿宋" w:eastAsia="仿宋"/>
          <w:sz w:val="32"/>
          <w:szCs w:val="32"/>
        </w:rPr>
        <w:t>指导工程使用管理单位落实日常维护保养，做好评估前置资料准备。</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第十条</w:t>
      </w:r>
      <w:r>
        <w:rPr>
          <w:rFonts w:hint="eastAsia" w:ascii="仿宋" w:hAnsi="仿宋" w:eastAsia="仿宋"/>
          <w:sz w:val="32"/>
          <w:szCs w:val="32"/>
        </w:rPr>
        <w:t xml:space="preserve"> </w:t>
      </w:r>
      <w:r>
        <w:rPr>
          <w:rFonts w:ascii="仿宋" w:hAnsi="仿宋" w:eastAsia="仿宋"/>
          <w:sz w:val="32"/>
          <w:szCs w:val="32"/>
        </w:rPr>
        <w:t>人防工程</w:t>
      </w:r>
      <w:r>
        <w:rPr>
          <w:rFonts w:hint="eastAsia" w:ascii="仿宋" w:hAnsi="仿宋" w:eastAsia="仿宋"/>
          <w:sz w:val="32"/>
          <w:szCs w:val="32"/>
        </w:rPr>
        <w:t>管理单位</w:t>
      </w:r>
      <w:r>
        <w:rPr>
          <w:rFonts w:ascii="仿宋" w:hAnsi="仿宋" w:eastAsia="仿宋"/>
          <w:sz w:val="32"/>
          <w:szCs w:val="32"/>
        </w:rPr>
        <w:t>或者其委托</w:t>
      </w:r>
      <w:r>
        <w:rPr>
          <w:rFonts w:hint="eastAsia" w:ascii="仿宋" w:hAnsi="仿宋" w:eastAsia="仿宋"/>
          <w:sz w:val="32"/>
          <w:szCs w:val="32"/>
        </w:rPr>
        <w:t>的</w:t>
      </w:r>
      <w:r>
        <w:rPr>
          <w:rFonts w:ascii="仿宋" w:hAnsi="仿宋" w:eastAsia="仿宋"/>
          <w:sz w:val="32"/>
          <w:szCs w:val="32"/>
        </w:rPr>
        <w:t xml:space="preserve">单位为工程主体管理责任主体，履行下列责任： </w:t>
      </w:r>
    </w:p>
    <w:p>
      <w:pPr>
        <w:spacing w:line="560" w:lineRule="exact"/>
        <w:ind w:firstLine="707" w:firstLineChars="221"/>
        <w:rPr>
          <w:rFonts w:ascii="仿宋" w:hAnsi="仿宋" w:eastAsia="仿宋"/>
          <w:sz w:val="32"/>
          <w:szCs w:val="32"/>
        </w:rPr>
      </w:pPr>
      <w:r>
        <w:rPr>
          <w:rFonts w:ascii="仿宋" w:hAnsi="仿宋" w:eastAsia="仿宋"/>
          <w:sz w:val="32"/>
          <w:szCs w:val="32"/>
        </w:rPr>
        <w:t>（一）按规定委托</w:t>
      </w:r>
      <w:r>
        <w:rPr>
          <w:rFonts w:hint="eastAsia" w:ascii="仿宋" w:hAnsi="仿宋" w:eastAsia="仿宋"/>
          <w:sz w:val="32"/>
          <w:szCs w:val="32"/>
        </w:rPr>
        <w:t>有资质的专业机构</w:t>
      </w:r>
      <w:r>
        <w:rPr>
          <w:rFonts w:ascii="仿宋" w:hAnsi="仿宋" w:eastAsia="仿宋"/>
          <w:sz w:val="32"/>
          <w:szCs w:val="32"/>
        </w:rPr>
        <w:t>开展</w:t>
      </w:r>
      <w:r>
        <w:rPr>
          <w:rFonts w:hint="eastAsia" w:ascii="仿宋" w:hAnsi="仿宋" w:eastAsia="仿宋"/>
          <w:sz w:val="32"/>
          <w:szCs w:val="32"/>
        </w:rPr>
        <w:t>人防工程防护效能完好性评估</w:t>
      </w:r>
      <w:r>
        <w:rPr>
          <w:rFonts w:ascii="仿宋" w:hAnsi="仿宋" w:eastAsia="仿宋"/>
          <w:sz w:val="32"/>
          <w:szCs w:val="32"/>
        </w:rPr>
        <w:t>；</w:t>
      </w:r>
    </w:p>
    <w:p>
      <w:pPr>
        <w:spacing w:line="560" w:lineRule="exact"/>
        <w:ind w:firstLine="566" w:firstLineChars="177"/>
        <w:rPr>
          <w:rFonts w:ascii="仿宋" w:hAnsi="仿宋" w:eastAsia="仿宋"/>
          <w:sz w:val="32"/>
          <w:szCs w:val="32"/>
        </w:rPr>
      </w:pPr>
      <w:r>
        <w:rPr>
          <w:rFonts w:ascii="仿宋" w:hAnsi="仿宋" w:eastAsia="仿宋"/>
          <w:sz w:val="32"/>
          <w:szCs w:val="32"/>
        </w:rPr>
        <w:t xml:space="preserve"> （二）落实黄色等级防护单元维修改造及整改工作； </w:t>
      </w:r>
    </w:p>
    <w:p>
      <w:pPr>
        <w:spacing w:line="560" w:lineRule="exact"/>
        <w:ind w:firstLine="707" w:firstLineChars="221"/>
        <w:rPr>
          <w:rFonts w:ascii="仿宋" w:hAnsi="仿宋" w:eastAsia="仿宋"/>
          <w:sz w:val="32"/>
          <w:szCs w:val="32"/>
        </w:rPr>
      </w:pPr>
      <w:r>
        <w:rPr>
          <w:rFonts w:ascii="仿宋" w:hAnsi="仿宋" w:eastAsia="仿宋"/>
          <w:sz w:val="32"/>
          <w:szCs w:val="32"/>
        </w:rPr>
        <w:t xml:space="preserve">（三）配合做好红色等级防护单元相关处置工作； </w:t>
      </w:r>
    </w:p>
    <w:p>
      <w:pPr>
        <w:spacing w:line="560" w:lineRule="exact"/>
        <w:ind w:firstLine="707" w:firstLineChars="221"/>
        <w:rPr>
          <w:rFonts w:ascii="仿宋" w:hAnsi="仿宋" w:eastAsia="仿宋"/>
          <w:sz w:val="32"/>
          <w:szCs w:val="32"/>
        </w:rPr>
      </w:pPr>
      <w:r>
        <w:rPr>
          <w:rFonts w:ascii="仿宋" w:hAnsi="仿宋" w:eastAsia="仿宋"/>
          <w:sz w:val="32"/>
          <w:szCs w:val="32"/>
        </w:rPr>
        <w:t xml:space="preserve">（四）完整移交、提供工程档案与维护管理记录，配合现场核查； </w:t>
      </w:r>
    </w:p>
    <w:p>
      <w:pPr>
        <w:spacing w:line="560" w:lineRule="exact"/>
        <w:ind w:firstLine="707" w:firstLineChars="221"/>
        <w:rPr>
          <w:rFonts w:ascii="仿宋" w:hAnsi="仿宋" w:eastAsia="仿宋"/>
          <w:sz w:val="32"/>
          <w:szCs w:val="32"/>
        </w:rPr>
      </w:pPr>
      <w:r>
        <w:rPr>
          <w:rFonts w:ascii="仿宋" w:hAnsi="仿宋" w:eastAsia="仿宋"/>
          <w:sz w:val="32"/>
          <w:szCs w:val="32"/>
        </w:rPr>
        <w:t>（五）承担人防工程日常维护管理工作。</w:t>
      </w:r>
    </w:p>
    <w:p>
      <w:pPr>
        <w:spacing w:line="560" w:lineRule="exact"/>
        <w:ind w:firstLine="707" w:firstLineChars="221"/>
        <w:rPr>
          <w:rFonts w:ascii="仿宋" w:hAnsi="仿宋" w:eastAsia="仿宋"/>
          <w:sz w:val="32"/>
          <w:szCs w:val="32"/>
        </w:rPr>
      </w:pPr>
    </w:p>
    <w:p>
      <w:pPr>
        <w:spacing w:line="560" w:lineRule="exact"/>
        <w:jc w:val="center"/>
        <w:outlineLvl w:val="0"/>
        <w:rPr>
          <w:rFonts w:ascii="宋体" w:hAnsi="宋体" w:eastAsia="宋体"/>
          <w:b/>
          <w:bCs/>
          <w:sz w:val="36"/>
          <w:szCs w:val="36"/>
        </w:rPr>
      </w:pPr>
      <w:bookmarkStart w:id="11" w:name="_Toc239951069"/>
      <w:r>
        <w:rPr>
          <w:rFonts w:hint="eastAsia" w:ascii="黑体" w:hAnsi="黑体" w:eastAsia="黑体" w:cs="黑体"/>
          <w:sz w:val="32"/>
          <w:szCs w:val="32"/>
        </w:rPr>
        <w:t>第四章 评估工作实施</w:t>
      </w:r>
      <w:bookmarkEnd w:id="11"/>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第十一条</w:t>
      </w:r>
      <w:r>
        <w:rPr>
          <w:rFonts w:ascii="仿宋" w:hAnsi="仿宋" w:eastAsia="仿宋"/>
          <w:sz w:val="32"/>
          <w:szCs w:val="32"/>
        </w:rPr>
        <w:t xml:space="preserve"> </w:t>
      </w:r>
      <w:r>
        <w:rPr>
          <w:rFonts w:hint="eastAsia" w:ascii="仿宋" w:hAnsi="仿宋" w:eastAsia="仿宋"/>
          <w:sz w:val="32"/>
          <w:szCs w:val="32"/>
        </w:rPr>
        <w:t>接受委托的评估实施单位独立开展现场核查、设备测试、缺陷判定、编制评估报告，对评估结论的真实性、客观性、准确性负责。</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评估实施单位应当满足下列条件：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（一）具有独立法人资格，独立承担民事责任；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（二）具有人防工程防护设备、建筑结构、通风空调、给排水、电气、消防等多专业技术能力，熟悉国家及本市人防工程相关法规</w:t>
      </w:r>
      <w:r>
        <w:rPr>
          <w:rFonts w:ascii="仿宋" w:hAnsi="仿宋" w:eastAsia="仿宋"/>
          <w:sz w:val="32"/>
          <w:szCs w:val="32"/>
        </w:rPr>
        <w:t>、</w:t>
      </w:r>
      <w:r>
        <w:rPr>
          <w:rFonts w:hint="eastAsia" w:ascii="仿宋" w:hAnsi="仿宋" w:eastAsia="仿宋"/>
          <w:sz w:val="32"/>
          <w:szCs w:val="32"/>
        </w:rPr>
        <w:t>规定和</w:t>
      </w:r>
      <w:r>
        <w:rPr>
          <w:rFonts w:ascii="仿宋" w:hAnsi="仿宋" w:eastAsia="仿宋"/>
          <w:sz w:val="32"/>
          <w:szCs w:val="32"/>
        </w:rPr>
        <w:t>标准</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第十二条</w:t>
      </w:r>
      <w:r>
        <w:rPr>
          <w:rFonts w:ascii="仿宋" w:hAnsi="仿宋" w:eastAsia="仿宋"/>
          <w:sz w:val="32"/>
          <w:szCs w:val="32"/>
        </w:rPr>
        <w:t xml:space="preserve"> 收集被评估人防工程竣工资料、</w:t>
      </w:r>
      <w:r>
        <w:rPr>
          <w:rFonts w:hint="eastAsia" w:ascii="仿宋" w:hAnsi="仿宋" w:eastAsia="仿宋"/>
          <w:sz w:val="32"/>
          <w:szCs w:val="32"/>
        </w:rPr>
        <w:t>设计</w:t>
      </w:r>
      <w:r>
        <w:rPr>
          <w:rFonts w:ascii="仿宋" w:hAnsi="仿宋" w:eastAsia="仿宋"/>
          <w:sz w:val="32"/>
          <w:szCs w:val="32"/>
        </w:rPr>
        <w:t>图纸、既往检测维修改造档案，明确评估范围、各防护单元边界。</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第十三条</w:t>
      </w:r>
      <w:r>
        <w:rPr>
          <w:rFonts w:ascii="仿宋" w:hAnsi="仿宋" w:eastAsia="仿宋"/>
          <w:sz w:val="32"/>
          <w:szCs w:val="32"/>
        </w:rPr>
        <w:t xml:space="preserve"> 对照本办法附件1《</w:t>
      </w:r>
      <w:bookmarkStart w:id="12" w:name="OLE_LINK1"/>
      <w:bookmarkStart w:id="13" w:name="OLE_LINK2"/>
      <w:r>
        <w:rPr>
          <w:rFonts w:ascii="仿宋" w:hAnsi="仿宋" w:eastAsia="仿宋"/>
          <w:sz w:val="32"/>
          <w:szCs w:val="32"/>
        </w:rPr>
        <w:t>各专业</w:t>
      </w:r>
      <w:bookmarkEnd w:id="12"/>
      <w:bookmarkEnd w:id="13"/>
      <w:r>
        <w:rPr>
          <w:rFonts w:ascii="仿宋" w:hAnsi="仿宋" w:eastAsia="仿宋"/>
          <w:sz w:val="32"/>
          <w:szCs w:val="32"/>
        </w:rPr>
        <w:t>评估内容及判定标准》逐项开展检查，逐项记录缺陷情况，确定各每</w:t>
      </w:r>
      <w:r>
        <w:rPr>
          <w:rFonts w:hint="eastAsia" w:ascii="仿宋" w:hAnsi="仿宋" w:eastAsia="仿宋"/>
          <w:sz w:val="32"/>
          <w:szCs w:val="32"/>
        </w:rPr>
        <w:t>分项</w:t>
      </w:r>
      <w:r>
        <w:rPr>
          <w:rFonts w:ascii="仿宋" w:hAnsi="仿宋" w:eastAsia="仿宋"/>
          <w:sz w:val="32"/>
          <w:szCs w:val="32"/>
        </w:rPr>
        <w:t>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第十四条</w:t>
      </w:r>
      <w:r>
        <w:rPr>
          <w:rFonts w:ascii="仿宋" w:hAnsi="仿宋" w:eastAsia="仿宋"/>
          <w:sz w:val="32"/>
          <w:szCs w:val="32"/>
        </w:rPr>
        <w:t xml:space="preserve"> 对缺陷部位、设备状态留存影像资料，</w:t>
      </w:r>
      <w:r>
        <w:rPr>
          <w:rFonts w:hint="eastAsia" w:ascii="仿宋" w:hAnsi="仿宋" w:eastAsia="仿宋"/>
          <w:sz w:val="32"/>
          <w:szCs w:val="32"/>
        </w:rPr>
        <w:t>影像应能够有效展现设备状态或者缺陷情况，</w:t>
      </w:r>
      <w:r>
        <w:rPr>
          <w:rFonts w:ascii="仿宋" w:hAnsi="仿宋" w:eastAsia="仿宋"/>
          <w:sz w:val="32"/>
          <w:szCs w:val="32"/>
        </w:rPr>
        <w:t>如实记录检查情况，不得随意删减评估条目。</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第十五条</w:t>
      </w:r>
      <w:r>
        <w:rPr>
          <w:rFonts w:ascii="仿宋" w:hAnsi="仿宋" w:eastAsia="仿宋"/>
          <w:sz w:val="32"/>
          <w:szCs w:val="32"/>
        </w:rPr>
        <w:t xml:space="preserve"> 现场评估不得对工程本体、防护设备造成破坏性损伤；确需破坏性检测的，应单独履行审批程序，不属于本办法常规评估范畴。</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14" w:name="_Toc239951070"/>
      <w:r>
        <w:rPr>
          <w:rFonts w:hint="eastAsia" w:ascii="黑体" w:hAnsi="黑体" w:eastAsia="黑体" w:cs="黑体"/>
          <w:sz w:val="32"/>
          <w:szCs w:val="32"/>
        </w:rPr>
        <w:t>第五章 综合等级判定规则</w:t>
      </w:r>
      <w:bookmarkEnd w:id="14"/>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第十六条</w:t>
      </w:r>
      <w:r>
        <w:rPr>
          <w:rFonts w:ascii="仿宋" w:hAnsi="仿宋" w:eastAsia="仿宋"/>
          <w:sz w:val="32"/>
          <w:szCs w:val="32"/>
        </w:rPr>
        <w:t xml:space="preserve"> 以</w:t>
      </w:r>
      <w:bookmarkStart w:id="15" w:name="OLE_LINK85"/>
      <w:r>
        <w:rPr>
          <w:rFonts w:ascii="仿宋" w:hAnsi="仿宋" w:eastAsia="仿宋"/>
          <w:sz w:val="32"/>
          <w:szCs w:val="32"/>
        </w:rPr>
        <w:t>单个防护单元</w:t>
      </w:r>
      <w:bookmarkEnd w:id="15"/>
      <w:r>
        <w:rPr>
          <w:rFonts w:ascii="仿宋" w:hAnsi="仿宋" w:eastAsia="仿宋"/>
          <w:sz w:val="32"/>
          <w:szCs w:val="32"/>
        </w:rPr>
        <w:t>为对象统计</w:t>
      </w:r>
      <w:r>
        <w:rPr>
          <w:rFonts w:hint="eastAsia" w:ascii="仿宋" w:hAnsi="仿宋" w:eastAsia="仿宋"/>
          <w:sz w:val="32"/>
          <w:szCs w:val="32"/>
        </w:rPr>
        <w:t>各评估项的等级，</w:t>
      </w:r>
      <w:r>
        <w:rPr>
          <w:rFonts w:ascii="仿宋" w:hAnsi="仿宋" w:eastAsia="仿宋"/>
          <w:sz w:val="32"/>
          <w:szCs w:val="32"/>
        </w:rPr>
        <w:t>各专业分项评估结果作为综合等级判定基础数据。</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第十七条</w:t>
      </w:r>
      <w:r>
        <w:rPr>
          <w:rFonts w:ascii="仿宋" w:hAnsi="仿宋" w:eastAsia="仿宋"/>
          <w:sz w:val="32"/>
          <w:szCs w:val="32"/>
        </w:rPr>
        <w:t xml:space="preserve"> 单个防护单元等级按照下列规则判定</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）绿色：</w:t>
      </w:r>
      <w:bookmarkStart w:id="16" w:name="OLE_LINK86"/>
      <w:r>
        <w:rPr>
          <w:rFonts w:ascii="仿宋" w:hAnsi="仿宋" w:eastAsia="仿宋"/>
          <w:sz w:val="32"/>
          <w:szCs w:val="32"/>
        </w:rPr>
        <w:t>全专业所有评估条目</w:t>
      </w:r>
      <w:bookmarkEnd w:id="16"/>
      <w:r>
        <w:rPr>
          <w:rFonts w:ascii="仿宋" w:hAnsi="仿宋" w:eastAsia="仿宋"/>
          <w:sz w:val="32"/>
          <w:szCs w:val="32"/>
        </w:rPr>
        <w:t>均为绿色，无黄色、红色项，</w:t>
      </w:r>
      <w:bookmarkStart w:id="17" w:name="OLE_LINK56"/>
      <w:bookmarkStart w:id="18" w:name="OLE_LINK55"/>
      <w:r>
        <w:rPr>
          <w:rFonts w:hint="eastAsia" w:ascii="仿宋" w:hAnsi="仿宋" w:eastAsia="仿宋"/>
          <w:sz w:val="32"/>
          <w:szCs w:val="32"/>
        </w:rPr>
        <w:t>代表</w:t>
      </w:r>
      <w:bookmarkEnd w:id="17"/>
      <w:bookmarkEnd w:id="18"/>
      <w:r>
        <w:rPr>
          <w:rFonts w:ascii="仿宋" w:hAnsi="仿宋" w:eastAsia="仿宋"/>
          <w:sz w:val="32"/>
          <w:szCs w:val="32"/>
        </w:rPr>
        <w:t>合格。</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（二）黄色：全专业所有评估条目中出现黄色，或红色条目数量小于</w:t>
      </w:r>
      <w:r>
        <w:rPr>
          <w:rFonts w:ascii="仿宋" w:hAnsi="仿宋" w:eastAsia="仿宋"/>
          <w:sz w:val="32"/>
          <w:szCs w:val="32"/>
        </w:rPr>
        <w:t>4</w:t>
      </w:r>
      <w:r>
        <w:rPr>
          <w:rFonts w:hint="eastAsia" w:ascii="仿宋" w:hAnsi="仿宋" w:eastAsia="仿宋"/>
          <w:sz w:val="32"/>
          <w:szCs w:val="32"/>
        </w:rPr>
        <w:t>条</w:t>
      </w:r>
      <w:r>
        <w:rPr>
          <w:rFonts w:ascii="仿宋" w:hAnsi="仿宋" w:eastAsia="仿宋"/>
          <w:sz w:val="32"/>
          <w:szCs w:val="32"/>
        </w:rPr>
        <w:t>，</w:t>
      </w:r>
      <w:r>
        <w:rPr>
          <w:rFonts w:hint="eastAsia" w:ascii="仿宋" w:hAnsi="仿宋" w:eastAsia="仿宋"/>
          <w:sz w:val="32"/>
          <w:szCs w:val="32"/>
        </w:rPr>
        <w:t>代表</w:t>
      </w:r>
      <w:r>
        <w:rPr>
          <w:rFonts w:ascii="仿宋" w:hAnsi="仿宋" w:eastAsia="仿宋"/>
          <w:sz w:val="32"/>
          <w:szCs w:val="32"/>
        </w:rPr>
        <w:t>经维修或改造后可合格</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（三）红色：全专业所有评估条目中红色条目累计大于等于</w:t>
      </w:r>
      <w:r>
        <w:rPr>
          <w:rFonts w:ascii="仿宋" w:hAnsi="仿宋" w:eastAsia="仿宋"/>
          <w:sz w:val="32"/>
          <w:szCs w:val="32"/>
        </w:rPr>
        <w:t xml:space="preserve">4 </w:t>
      </w:r>
      <w:r>
        <w:rPr>
          <w:rFonts w:hint="eastAsia" w:ascii="仿宋" w:hAnsi="仿宋" w:eastAsia="仿宋"/>
          <w:sz w:val="32"/>
          <w:szCs w:val="32"/>
        </w:rPr>
        <w:t>条</w:t>
      </w:r>
      <w:r>
        <w:rPr>
          <w:rFonts w:ascii="仿宋" w:hAnsi="仿宋" w:eastAsia="仿宋"/>
          <w:sz w:val="32"/>
          <w:szCs w:val="32"/>
        </w:rPr>
        <w:t>，</w:t>
      </w:r>
      <w:r>
        <w:rPr>
          <w:rFonts w:hint="eastAsia" w:ascii="仿宋" w:hAnsi="仿宋" w:eastAsia="仿宋"/>
          <w:sz w:val="32"/>
          <w:szCs w:val="32"/>
        </w:rPr>
        <w:t>代表</w:t>
      </w:r>
      <w:r>
        <w:rPr>
          <w:rFonts w:ascii="仿宋" w:hAnsi="仿宋" w:eastAsia="仿宋"/>
          <w:sz w:val="32"/>
          <w:szCs w:val="32"/>
        </w:rPr>
        <w:t>不合格</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单项评估为红色，即计为1条红色不合格条目；同一设备多条缺陷仍归属同一条评估项，只计1条，但整改时应逐一整改。</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19" w:name="_Toc239951071"/>
      <w:r>
        <w:rPr>
          <w:rFonts w:hint="eastAsia" w:ascii="黑体" w:hAnsi="黑体" w:eastAsia="黑体" w:cs="黑体"/>
          <w:sz w:val="32"/>
          <w:szCs w:val="32"/>
        </w:rPr>
        <w:t>第六章 评估成果与处置</w:t>
      </w:r>
      <w:bookmarkEnd w:id="19"/>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第十八条</w:t>
      </w:r>
      <w:r>
        <w:rPr>
          <w:rFonts w:ascii="仿宋" w:hAnsi="仿宋" w:eastAsia="仿宋"/>
          <w:sz w:val="32"/>
          <w:szCs w:val="32"/>
        </w:rPr>
        <w:t xml:space="preserve"> 评估完成后应当编制人防工程</w:t>
      </w:r>
      <w:r>
        <w:rPr>
          <w:rFonts w:hint="eastAsia" w:ascii="仿宋" w:hAnsi="仿宋" w:eastAsia="仿宋"/>
          <w:sz w:val="32"/>
          <w:szCs w:val="32"/>
        </w:rPr>
        <w:t>防护效能</w:t>
      </w:r>
      <w:r>
        <w:rPr>
          <w:rFonts w:ascii="仿宋" w:hAnsi="仿宋" w:eastAsia="仿宋"/>
          <w:sz w:val="32"/>
          <w:szCs w:val="32"/>
        </w:rPr>
        <w:t>完好性评估报告，报告包含工程基本信息、防护单元划分、各专业分项检查记录表、缺陷照片、各防护单元分项等级、防护单元综合评估等级。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第十九条</w:t>
      </w:r>
      <w:r>
        <w:rPr>
          <w:rFonts w:ascii="仿宋" w:hAnsi="仿宋" w:eastAsia="仿宋"/>
          <w:sz w:val="32"/>
          <w:szCs w:val="32"/>
        </w:rPr>
        <w:t xml:space="preserve"> 按照防护单元评估等级实施分级处置：</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）绿色防护单元：落实常态化维护保养，按照人防工程管理规定开展定期巡检。</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）黄色防护单元：梳理黄色缺陷及红色缺陷清单，制定维修改造方案，限期实施整改</w:t>
      </w:r>
      <w:r>
        <w:rPr>
          <w:rFonts w:hint="eastAsia" w:ascii="仿宋" w:hAnsi="仿宋" w:eastAsia="仿宋"/>
          <w:sz w:val="32"/>
          <w:szCs w:val="32"/>
        </w:rPr>
        <w:t>，</w:t>
      </w:r>
      <w:r>
        <w:rPr>
          <w:rFonts w:ascii="仿宋" w:hAnsi="仿宋" w:eastAsia="仿宋"/>
          <w:sz w:val="32"/>
          <w:szCs w:val="32"/>
        </w:rPr>
        <w:t>整改完成后开展复核评估。</w:t>
      </w:r>
    </w:p>
    <w:p>
      <w:pPr>
        <w:spacing w:line="560" w:lineRule="exact"/>
        <w:ind w:firstLine="640" w:firstLineChars="200"/>
        <w:rPr>
          <w:rFonts w:ascii="仿宋" w:hAnsi="仿宋" w:eastAsia="仿宋"/>
          <w:color w:val="FF0000"/>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）红色防护单元：该防护单元已不具备人防工程</w:t>
      </w:r>
      <w:r>
        <w:rPr>
          <w:rFonts w:hint="eastAsia" w:ascii="仿宋" w:hAnsi="仿宋" w:eastAsia="仿宋"/>
          <w:sz w:val="32"/>
          <w:szCs w:val="32"/>
        </w:rPr>
        <w:t>防护效能</w:t>
      </w:r>
      <w:r>
        <w:rPr>
          <w:rFonts w:ascii="仿宋" w:hAnsi="仿宋" w:eastAsia="仿宋"/>
          <w:sz w:val="32"/>
          <w:szCs w:val="32"/>
        </w:rPr>
        <w:t>基本使用条件，应当</w:t>
      </w:r>
      <w:r>
        <w:rPr>
          <w:rFonts w:hint="eastAsia" w:ascii="仿宋" w:hAnsi="仿宋" w:eastAsia="仿宋"/>
          <w:color w:val="auto"/>
          <w:sz w:val="32"/>
          <w:szCs w:val="32"/>
        </w:rPr>
        <w:t>由属地人防工程主管部门</w:t>
      </w:r>
      <w:r>
        <w:rPr>
          <w:rFonts w:ascii="仿宋" w:hAnsi="仿宋" w:eastAsia="仿宋"/>
          <w:sz w:val="32"/>
          <w:szCs w:val="32"/>
        </w:rPr>
        <w:t>专题研究，结合工程实际提出</w:t>
      </w:r>
      <w:r>
        <w:rPr>
          <w:rFonts w:hint="eastAsia" w:ascii="仿宋" w:hAnsi="仿宋" w:eastAsia="仿宋"/>
          <w:sz w:val="32"/>
          <w:szCs w:val="32"/>
        </w:rPr>
        <w:t>退出战备序列</w:t>
      </w:r>
      <w:r>
        <w:rPr>
          <w:rFonts w:ascii="仿宋" w:hAnsi="仿宋" w:eastAsia="仿宋"/>
          <w:sz w:val="32"/>
          <w:szCs w:val="32"/>
        </w:rPr>
        <w:t>、报废等处置意见</w:t>
      </w:r>
      <w:r>
        <w:rPr>
          <w:rFonts w:hint="eastAsia" w:ascii="仿宋" w:hAnsi="仿宋" w:eastAsia="仿宋"/>
          <w:sz w:val="32"/>
          <w:szCs w:val="32"/>
        </w:rPr>
        <w:t>，</w:t>
      </w:r>
      <w:r>
        <w:rPr>
          <w:rFonts w:hint="eastAsia" w:ascii="仿宋" w:hAnsi="仿宋" w:eastAsia="仿宋"/>
          <w:color w:val="auto"/>
          <w:sz w:val="32"/>
          <w:szCs w:val="32"/>
        </w:rPr>
        <w:t>并按照相关程序组织实施</w:t>
      </w:r>
      <w:r>
        <w:rPr>
          <w:rFonts w:ascii="仿宋" w:hAnsi="仿宋" w:eastAsia="仿宋"/>
          <w:color w:val="auto"/>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第二十条</w:t>
      </w:r>
      <w:r>
        <w:rPr>
          <w:rFonts w:ascii="仿宋" w:hAnsi="仿宋" w:eastAsia="仿宋"/>
          <w:sz w:val="32"/>
          <w:szCs w:val="32"/>
        </w:rPr>
        <w:t xml:space="preserve"> 经维修改造完成的人防工程，应重新组织</w:t>
      </w:r>
      <w:r>
        <w:rPr>
          <w:rFonts w:hint="eastAsia" w:ascii="仿宋" w:hAnsi="仿宋" w:eastAsia="仿宋"/>
          <w:sz w:val="32"/>
          <w:szCs w:val="32"/>
        </w:rPr>
        <w:t>防护效能</w:t>
      </w:r>
      <w:r>
        <w:rPr>
          <w:rFonts w:ascii="仿宋" w:hAnsi="仿宋" w:eastAsia="仿宋"/>
          <w:sz w:val="32"/>
          <w:szCs w:val="32"/>
        </w:rPr>
        <w:t>完好性评估，确认是否达到合格状态。</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20" w:name="_Toc239951072"/>
      <w:r>
        <w:rPr>
          <w:rFonts w:hint="eastAsia" w:ascii="黑体" w:hAnsi="黑体" w:eastAsia="黑体" w:cs="黑体"/>
          <w:sz w:val="32"/>
          <w:szCs w:val="32"/>
        </w:rPr>
        <w:t>第七章 档案管理</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第二十一条</w:t>
      </w:r>
      <w:r>
        <w:rPr>
          <w:rFonts w:ascii="仿宋" w:hAnsi="仿宋" w:eastAsia="仿宋"/>
          <w:sz w:val="32"/>
          <w:szCs w:val="32"/>
        </w:rPr>
        <w:t xml:space="preserve"> </w:t>
      </w:r>
      <w:r>
        <w:rPr>
          <w:rFonts w:hint="eastAsia" w:ascii="仿宋" w:hAnsi="仿宋" w:eastAsia="仿宋"/>
          <w:sz w:val="32"/>
          <w:szCs w:val="32"/>
        </w:rPr>
        <w:t>人防工程防护效能完好性评估实行档案闭环管理，评估档案包含：工程基础信息、原始竣工及历史运维资料、现场影像、分项评估检查表、防护单元综合评估汇总表、全工程防护单元汇总表、正式评估报告、整改方案、复核评估资料、处置研判材料等。</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第二十二条</w:t>
      </w:r>
      <w:r>
        <w:rPr>
          <w:rFonts w:ascii="仿宋" w:hAnsi="仿宋" w:eastAsia="仿宋"/>
          <w:sz w:val="32"/>
          <w:szCs w:val="32"/>
        </w:rPr>
        <w:t xml:space="preserve"> </w:t>
      </w:r>
      <w:r>
        <w:rPr>
          <w:rFonts w:hint="eastAsia" w:ascii="仿宋" w:hAnsi="仿宋" w:eastAsia="仿宋"/>
          <w:sz w:val="32"/>
          <w:szCs w:val="32"/>
        </w:rPr>
        <w:t>档案归集责任：</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Start w:id="21" w:name="OLE_LINK58"/>
      <w:bookmarkStart w:id="22" w:name="OLE_LINK59"/>
      <w:r>
        <w:rPr>
          <w:rFonts w:hint="eastAsia" w:ascii="仿宋" w:hAnsi="仿宋" w:eastAsia="仿宋"/>
          <w:sz w:val="32"/>
          <w:szCs w:val="32"/>
        </w:rPr>
        <w:t>评估实施单位</w:t>
      </w:r>
      <w:bookmarkEnd w:id="21"/>
      <w:bookmarkEnd w:id="22"/>
      <w:r>
        <w:rPr>
          <w:rFonts w:hint="eastAsia" w:ascii="仿宋" w:hAnsi="仿宋" w:eastAsia="仿宋"/>
          <w:sz w:val="32"/>
          <w:szCs w:val="32"/>
        </w:rPr>
        <w:t>负责整理形成完整评估成果档案，移交工程管理单位留存，同时报送属地区国动办；</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区国动办建立本区评估档案库，留存辖区全部人防工程评估成果、整改、处置相关材料，按年度向市国动办报送汇总成果；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市国动办留存全市汇总台账、重点工程评估及处置档案。</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第二十三条</w:t>
      </w:r>
      <w:r>
        <w:rPr>
          <w:rFonts w:ascii="仿宋" w:hAnsi="仿宋" w:eastAsia="仿宋"/>
          <w:sz w:val="32"/>
          <w:szCs w:val="32"/>
        </w:rPr>
        <w:t xml:space="preserve"> </w:t>
      </w:r>
      <w:r>
        <w:rPr>
          <w:rFonts w:hint="eastAsia" w:ascii="仿宋" w:hAnsi="仿宋" w:eastAsia="仿宋"/>
          <w:sz w:val="32"/>
          <w:szCs w:val="32"/>
        </w:rPr>
        <w:t>档案形式可以为纸质档案或电子档案；电子档案应保证原始性、完整性、可追溯性，影像资料应标注工程、防护单元、部位信息，刻录光盘随检测报告一并提交。区人防主管部门应当建立完善影像资料的电子保管制度和设施。纸质档案应完整装订。</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第二十四条</w:t>
      </w:r>
      <w:r>
        <w:rPr>
          <w:rFonts w:ascii="仿宋" w:hAnsi="仿宋" w:eastAsia="仿宋"/>
          <w:sz w:val="32"/>
          <w:szCs w:val="32"/>
        </w:rPr>
        <w:t xml:space="preserve"> </w:t>
      </w:r>
      <w:r>
        <w:rPr>
          <w:rFonts w:hint="eastAsia" w:ascii="仿宋" w:hAnsi="仿宋" w:eastAsia="仿宋"/>
          <w:sz w:val="32"/>
          <w:szCs w:val="32"/>
        </w:rPr>
        <w:t>评估档案保管期限应与人防工程存续周期相匹配；工程发生维修改造、复核评估、退出战备、报废处置，由此新形成的资料应补充归入对应工程档案，与评估档案一并归档。</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第二十五条</w:t>
      </w:r>
      <w:r>
        <w:rPr>
          <w:rFonts w:ascii="仿宋" w:hAnsi="仿宋" w:eastAsia="仿宋"/>
          <w:sz w:val="32"/>
          <w:szCs w:val="32"/>
        </w:rPr>
        <w:t xml:space="preserve"> </w:t>
      </w:r>
      <w:r>
        <w:rPr>
          <w:rFonts w:hint="eastAsia" w:ascii="仿宋" w:hAnsi="仿宋" w:eastAsia="仿宋"/>
          <w:sz w:val="32"/>
          <w:szCs w:val="32"/>
        </w:rPr>
        <w:t>档案查阅、使用应当遵守人防工程保密相关管理规定，严禁违规外传涉密图纸及工程信息。</w:t>
      </w:r>
    </w:p>
    <w:p>
      <w:pPr>
        <w:spacing w:line="560" w:lineRule="exact"/>
        <w:ind w:firstLine="640" w:firstLineChars="200"/>
        <w:rPr>
          <w:rFonts w:ascii="仿宋" w:hAnsi="仿宋" w:eastAsia="仿宋"/>
          <w:sz w:val="32"/>
          <w:szCs w:val="32"/>
        </w:rPr>
      </w:pPr>
    </w:p>
    <w:p>
      <w:pPr>
        <w:spacing w:line="560" w:lineRule="exact"/>
        <w:jc w:val="center"/>
        <w:outlineLvl w:val="0"/>
        <w:rPr>
          <w:rFonts w:ascii="宋体" w:hAnsi="宋体" w:eastAsia="宋体"/>
          <w:b/>
          <w:bCs/>
          <w:sz w:val="36"/>
          <w:szCs w:val="36"/>
        </w:rPr>
      </w:pPr>
      <w:r>
        <w:rPr>
          <w:rFonts w:hint="eastAsia" w:ascii="黑体" w:hAnsi="黑体" w:eastAsia="黑体" w:cs="黑体"/>
          <w:sz w:val="32"/>
          <w:szCs w:val="32"/>
        </w:rPr>
        <w:t>第八章 附则</w:t>
      </w:r>
      <w:bookmarkEnd w:id="20"/>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第二十六条</w:t>
      </w:r>
      <w:r>
        <w:rPr>
          <w:rFonts w:ascii="仿宋" w:hAnsi="仿宋" w:eastAsia="仿宋"/>
          <w:sz w:val="32"/>
          <w:szCs w:val="32"/>
        </w:rPr>
        <w:t xml:space="preserve"> 本办法由北京市</w:t>
      </w:r>
      <w:r>
        <w:rPr>
          <w:rFonts w:hint="eastAsia" w:ascii="仿宋" w:hAnsi="仿宋" w:eastAsia="仿宋"/>
          <w:sz w:val="32"/>
          <w:szCs w:val="32"/>
        </w:rPr>
        <w:t>国防动员办公室</w:t>
      </w:r>
      <w:r>
        <w:rPr>
          <w:rFonts w:ascii="仿宋" w:hAnsi="仿宋" w:eastAsia="仿宋"/>
          <w:sz w:val="32"/>
          <w:szCs w:val="32"/>
        </w:rPr>
        <w:t>负责解释。</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第二十七条</w:t>
      </w:r>
      <w:r>
        <w:rPr>
          <w:rFonts w:ascii="仿宋" w:hAnsi="仿宋" w:eastAsia="仿宋"/>
          <w:sz w:val="32"/>
          <w:szCs w:val="32"/>
        </w:rPr>
        <w:t xml:space="preserve"> 本办法自发布之日起施行。</w:t>
      </w:r>
    </w:p>
    <w:p>
      <w:pPr>
        <w:rPr>
          <w:rFonts w:ascii="仿宋" w:hAnsi="仿宋" w:eastAsia="仿宋"/>
          <w:sz w:val="32"/>
          <w:szCs w:val="32"/>
        </w:rPr>
      </w:pPr>
      <w:r>
        <w:rPr>
          <w:rFonts w:ascii="仿宋" w:hAnsi="仿宋" w:eastAsia="仿宋"/>
          <w:sz w:val="32"/>
          <w:szCs w:val="32"/>
        </w:rPr>
        <w:br w:type="page"/>
      </w:r>
    </w:p>
    <w:p>
      <w:pPr>
        <w:jc w:val="left"/>
        <w:outlineLvl w:val="0"/>
        <w:rPr>
          <w:rFonts w:ascii="仿宋" w:hAnsi="仿宋" w:eastAsia="仿宋"/>
          <w:sz w:val="28"/>
          <w:szCs w:val="28"/>
        </w:rPr>
      </w:pPr>
      <w:bookmarkStart w:id="23" w:name="_Toc239951073"/>
      <w:r>
        <w:rPr>
          <w:rFonts w:hint="eastAsia" w:ascii="黑体" w:hAnsi="黑体" w:eastAsia="黑体" w:cs="黑体"/>
          <w:sz w:val="28"/>
          <w:szCs w:val="28"/>
        </w:rPr>
        <w:t>附件 1</w:t>
      </w:r>
      <w:bookmarkEnd w:id="23"/>
      <w:r>
        <w:rPr>
          <w:rFonts w:ascii="仿宋" w:hAnsi="仿宋" w:eastAsia="仿宋"/>
          <w:sz w:val="28"/>
          <w:szCs w:val="28"/>
        </w:rPr>
        <w:t xml:space="preserve"> </w:t>
      </w:r>
    </w:p>
    <w:p>
      <w:pPr>
        <w:widowControl/>
        <w:spacing w:before="156" w:beforeLines="50" w:after="156" w:afterLines="50" w:line="480" w:lineRule="auto"/>
        <w:jc w:val="center"/>
        <w:rPr>
          <w:rFonts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各专业评估内容及判定标准</w:t>
      </w:r>
    </w:p>
    <w:p>
      <w:pPr>
        <w:pStyle w:val="9"/>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24" w:name="_Toc239951074"/>
      <w:r>
        <w:rPr>
          <w:rFonts w:hint="eastAsia" w:ascii="黑体" w:hAnsi="黑体" w:eastAsia="黑体" w:cs="黑体"/>
          <w:color w:val="000000" w:themeColor="text1"/>
          <w:sz w:val="32"/>
          <w:szCs w:val="32"/>
          <w14:textFill>
            <w14:solidFill>
              <w14:schemeClr w14:val="tx1"/>
            </w14:solidFill>
          </w14:textFill>
        </w:rPr>
        <w:t>第一章 建筑专业</w:t>
      </w:r>
      <w:bookmarkEnd w:id="24"/>
    </w:p>
    <w:p>
      <w:pPr>
        <w:spacing w:line="360" w:lineRule="exact"/>
        <w:rPr>
          <w:rFonts w:ascii="宋体" w:hAnsi="宋体" w:eastAsia="宋体"/>
        </w:rPr>
      </w:pPr>
      <w:r>
        <w:rPr>
          <w:rFonts w:hint="eastAsia" w:ascii="黑体" w:hAnsi="黑体" w:eastAsia="黑体" w:cs="Times New Roman"/>
          <w:kern w:val="0"/>
          <w:szCs w:val="21"/>
        </w:rPr>
        <w:t>第一条</w:t>
      </w:r>
      <w:r>
        <w:rPr>
          <w:rFonts w:ascii="黑体" w:hAnsi="黑体" w:eastAsia="黑体" w:cs="Times New Roman"/>
          <w:kern w:val="0"/>
          <w:szCs w:val="21"/>
        </w:rPr>
        <w:t xml:space="preserve"> </w:t>
      </w:r>
      <w:r>
        <w:rPr>
          <w:rFonts w:ascii="宋体" w:hAnsi="宋体" w:eastAsia="宋体"/>
        </w:rPr>
        <w:t>人员出入口设置</w:t>
      </w:r>
    </w:p>
    <w:p>
      <w:pPr>
        <w:spacing w:line="360" w:lineRule="exact"/>
        <w:ind w:firstLine="420" w:firstLineChars="200"/>
        <w:rPr>
          <w:rFonts w:ascii="宋体" w:hAnsi="宋体" w:eastAsia="宋体"/>
        </w:rPr>
      </w:pPr>
      <w:r>
        <w:rPr>
          <w:rFonts w:ascii="宋体" w:hAnsi="宋体" w:eastAsia="宋体"/>
        </w:rPr>
        <w:t>每个防护单元人员出入口不少于2个（竖井式出入口、单元连通口不计入），主要出入口应为室外出入口（经审批同意室内口替代室外口的除外）。</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一</w:t>
      </w:r>
      <w:r>
        <w:rPr>
          <w:rFonts w:ascii="宋体" w:hAnsi="宋体" w:eastAsia="宋体"/>
        </w:rPr>
        <w:t>）绿色：完全满足要求（含审批后室内口作为室外口）。</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二</w:t>
      </w:r>
      <w:r>
        <w:rPr>
          <w:rFonts w:ascii="宋体" w:hAnsi="宋体" w:eastAsia="宋体"/>
        </w:rPr>
        <w:t>）黄色：无直接地面室外口，但具备与人防工程连通条件</w:t>
      </w:r>
      <w:r>
        <w:rPr>
          <w:rFonts w:hint="eastAsia" w:ascii="宋体" w:hAnsi="宋体" w:eastAsia="宋体"/>
        </w:rPr>
        <w:t>；</w:t>
      </w:r>
      <w:r>
        <w:rPr>
          <w:rFonts w:ascii="宋体" w:hAnsi="宋体" w:eastAsia="宋体"/>
        </w:rPr>
        <w:t>经改造可满足本条要求。</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三</w:t>
      </w:r>
      <w:r>
        <w:rPr>
          <w:rFonts w:ascii="宋体" w:hAnsi="宋体" w:eastAsia="宋体"/>
        </w:rPr>
        <w:t>）红色：无法满足本条设置要求</w:t>
      </w:r>
      <w:r>
        <w:rPr>
          <w:rFonts w:hint="eastAsia" w:ascii="宋体" w:hAnsi="宋体" w:eastAsia="宋体"/>
        </w:rPr>
        <w:t>；</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第二条</w:t>
      </w:r>
      <w:r>
        <w:rPr>
          <w:rFonts w:ascii="宋体" w:hAnsi="宋体" w:eastAsia="宋体"/>
        </w:rPr>
        <w:t xml:space="preserve"> 管道穿越人防</w:t>
      </w:r>
      <w:r>
        <w:rPr>
          <w:rFonts w:hint="eastAsia" w:ascii="宋体" w:hAnsi="宋体" w:eastAsia="宋体"/>
        </w:rPr>
        <w:t>围护结构</w:t>
      </w:r>
      <w:r>
        <w:rPr>
          <w:rFonts w:ascii="宋体" w:hAnsi="宋体" w:eastAsia="宋体"/>
        </w:rPr>
        <w:t>限制要求</w:t>
      </w:r>
    </w:p>
    <w:p>
      <w:pPr>
        <w:spacing w:line="360" w:lineRule="exact"/>
        <w:ind w:firstLine="420" w:firstLineChars="200"/>
        <w:rPr>
          <w:rFonts w:ascii="宋体" w:hAnsi="宋体" w:eastAsia="宋体"/>
        </w:rPr>
      </w:pPr>
      <w:r>
        <w:rPr>
          <w:rFonts w:hint="eastAsia" w:ascii="宋体" w:hAnsi="宋体" w:eastAsia="宋体"/>
        </w:rPr>
        <w:t>上部建筑生活污水管、雨水管、燃气管不得进入人防工程；凡穿越人防围护结构进入人防工程的给水、消防、排水、供热、冷媒管道等输送流体管道，穿墙部位应设置防护密闭套管，并在人防围护结构内侧设置防护阀门，套管与管道之间间隙应做防护密闭封堵；电缆、通信等线缆管线穿越围护结构应设置密闭套管并做好防护密闭封堵。</w:t>
      </w:r>
      <w:r>
        <w:rPr>
          <w:rFonts w:ascii="宋体" w:hAnsi="宋体" w:eastAsia="宋体"/>
        </w:rPr>
        <w:t xml:space="preserve"> </w:t>
      </w:r>
    </w:p>
    <w:p>
      <w:pPr>
        <w:spacing w:line="360" w:lineRule="exact"/>
        <w:ind w:firstLine="420" w:firstLineChars="200"/>
        <w:rPr>
          <w:rFonts w:ascii="宋体" w:hAnsi="宋体" w:eastAsia="宋体"/>
        </w:rPr>
      </w:pPr>
      <w:r>
        <w:rPr>
          <w:rFonts w:hint="eastAsia" w:ascii="宋体" w:hAnsi="宋体" w:eastAsia="宋体"/>
        </w:rPr>
        <w:t>检查方式：查阅工程验收文件、现场观测。</w:t>
      </w:r>
    </w:p>
    <w:p>
      <w:pPr>
        <w:spacing w:line="360" w:lineRule="exact"/>
        <w:ind w:firstLine="420" w:firstLineChars="200"/>
        <w:rPr>
          <w:rFonts w:ascii="宋体" w:hAnsi="宋体" w:eastAsia="宋体"/>
        </w:rPr>
      </w:pPr>
      <w:bookmarkStart w:id="25" w:name="OLE_LINK6"/>
      <w:r>
        <w:rPr>
          <w:rFonts w:hint="eastAsia" w:ascii="宋体" w:hAnsi="宋体" w:eastAsia="宋体"/>
        </w:rPr>
        <w:t>评估方法：</w:t>
      </w:r>
    </w:p>
    <w:bookmarkEnd w:id="25"/>
    <w:p>
      <w:pPr>
        <w:spacing w:line="360" w:lineRule="exact"/>
        <w:ind w:firstLine="420" w:firstLineChars="200"/>
        <w:rPr>
          <w:rFonts w:ascii="宋体" w:hAnsi="宋体" w:eastAsia="宋体"/>
        </w:rPr>
      </w:pPr>
      <w:bookmarkStart w:id="26" w:name="OLE_LINK7"/>
      <w:r>
        <w:rPr>
          <w:rFonts w:hint="eastAsia" w:ascii="宋体" w:hAnsi="宋体" w:eastAsia="宋体"/>
        </w:rPr>
        <w:t>（一）</w:t>
      </w:r>
      <w:bookmarkEnd w:id="26"/>
      <w:r>
        <w:rPr>
          <w:rFonts w:hint="eastAsia" w:ascii="宋体" w:hAnsi="宋体" w:eastAsia="宋体"/>
        </w:rPr>
        <w:t>绿色：安装规范合规，完全满足套管、阀门、封堵等防护密闭要求。</w:t>
      </w:r>
    </w:p>
    <w:p>
      <w:pPr>
        <w:spacing w:line="360" w:lineRule="exact"/>
        <w:ind w:firstLine="424" w:firstLineChars="202"/>
        <w:rPr>
          <w:rFonts w:ascii="宋体" w:hAnsi="宋体" w:eastAsia="宋体"/>
        </w:rPr>
      </w:pPr>
      <w:r>
        <w:rPr>
          <w:rFonts w:hint="eastAsia" w:ascii="宋体" w:hAnsi="宋体" w:eastAsia="宋体"/>
        </w:rPr>
        <w:t>（二）黄色：存在封堵不严、套管缺失或密封失效等缺陷，经维修改造后可达到合格标准。</w:t>
      </w:r>
    </w:p>
    <w:p>
      <w:pPr>
        <w:spacing w:line="360" w:lineRule="exact"/>
        <w:ind w:firstLine="420" w:firstLineChars="200"/>
        <w:rPr>
          <w:rFonts w:ascii="宋体" w:hAnsi="宋体" w:eastAsia="宋体"/>
        </w:rPr>
      </w:pPr>
      <w:r>
        <w:rPr>
          <w:rFonts w:hint="eastAsia" w:ascii="宋体" w:hAnsi="宋体" w:eastAsia="宋体"/>
        </w:rPr>
        <w:t>（三）红色：上部建筑生活污水管、雨水管、燃气管违规穿入人防工程；防护密闭套管、防护阀门缺失且无法整改；改造经济成本过高，无实施改造价值。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 xml:space="preserve">第三条 </w:t>
      </w:r>
      <w:r>
        <w:rPr>
          <w:rFonts w:ascii="宋体" w:hAnsi="宋体" w:eastAsia="宋体"/>
        </w:rPr>
        <w:t>防护密闭门、密闭门</w:t>
      </w:r>
    </w:p>
    <w:p>
      <w:pPr>
        <w:spacing w:line="360" w:lineRule="exact"/>
        <w:ind w:firstLine="420" w:firstLineChars="200"/>
        <w:rPr>
          <w:rFonts w:ascii="宋体" w:hAnsi="宋体" w:eastAsia="宋体"/>
        </w:rPr>
      </w:pPr>
      <w:r>
        <w:rPr>
          <w:rFonts w:hint="eastAsia" w:ascii="宋体" w:hAnsi="宋体" w:eastAsia="宋体"/>
        </w:rPr>
        <w:t>每个防护单元中防护密闭门和密闭门门框、门扇、五金配件等应保持结构完好、密封胶条完整有效、门扇启闭功能灵活可靠</w:t>
      </w:r>
      <w:r>
        <w:rPr>
          <w:rFonts w:ascii="宋体" w:hAnsi="宋体" w:eastAsia="宋体"/>
        </w:rPr>
        <w:t>；防护密闭门应向外开启。</w:t>
      </w:r>
    </w:p>
    <w:p>
      <w:pPr>
        <w:spacing w:line="360" w:lineRule="exact"/>
        <w:ind w:firstLine="420" w:firstLineChars="200"/>
        <w:rPr>
          <w:rFonts w:ascii="宋体" w:hAnsi="宋体" w:eastAsia="宋体"/>
        </w:rPr>
      </w:pPr>
      <w:r>
        <w:rPr>
          <w:rFonts w:ascii="宋体" w:hAnsi="宋体" w:eastAsia="宋体"/>
        </w:rPr>
        <w:t>检查方式：现场观测、</w:t>
      </w:r>
      <w:r>
        <w:rPr>
          <w:rFonts w:hint="eastAsia" w:ascii="宋体" w:hAnsi="宋体" w:eastAsia="宋体"/>
        </w:rPr>
        <w:t>门扇</w:t>
      </w:r>
      <w:r>
        <w:rPr>
          <w:rFonts w:ascii="宋体" w:hAnsi="宋体" w:eastAsia="宋体"/>
        </w:rPr>
        <w:t>启闭操作。</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一</w:t>
      </w:r>
      <w:r>
        <w:rPr>
          <w:rFonts w:ascii="宋体" w:hAnsi="宋体" w:eastAsia="宋体"/>
        </w:rPr>
        <w:t>）绿色：全部满足要求。</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二</w:t>
      </w:r>
      <w:r>
        <w:rPr>
          <w:rFonts w:ascii="宋体" w:hAnsi="宋体" w:eastAsia="宋体"/>
        </w:rPr>
        <w:t>）黄色：门框局部锈蚀；门扇局部磕碰凹坑</w:t>
      </w:r>
      <w:r>
        <w:rPr>
          <w:rFonts w:hint="eastAsia" w:ascii="宋体" w:hAnsi="宋体" w:eastAsia="宋体"/>
        </w:rPr>
        <w:t>，</w:t>
      </w:r>
      <w:r>
        <w:rPr>
          <w:rFonts w:ascii="宋体" w:hAnsi="宋体" w:eastAsia="宋体"/>
        </w:rPr>
        <w:t>局部锈蚀</w:t>
      </w:r>
      <w:r>
        <w:rPr>
          <w:rFonts w:hint="eastAsia" w:ascii="宋体" w:hAnsi="宋体" w:eastAsia="宋体"/>
        </w:rPr>
        <w:t>；密封胶条（门扇胶条、门框胶条）</w:t>
      </w:r>
      <w:r>
        <w:rPr>
          <w:rFonts w:ascii="宋体" w:hAnsi="宋体" w:eastAsia="宋体"/>
        </w:rPr>
        <w:t>局部裂口、局部缺损</w:t>
      </w:r>
      <w:r>
        <w:rPr>
          <w:rFonts w:hint="eastAsia" w:ascii="宋体" w:hAnsi="宋体" w:eastAsia="宋体"/>
        </w:rPr>
        <w:t>；铰页、闭锁锈蚀变形，转动费力；闭锁机构失效，不能锁紧门扇等</w:t>
      </w:r>
      <w:r>
        <w:rPr>
          <w:rFonts w:ascii="宋体" w:hAnsi="宋体" w:eastAsia="宋体"/>
        </w:rPr>
        <w:t>无法满足本条设置要求的情况。</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三</w:t>
      </w:r>
      <w:r>
        <w:rPr>
          <w:rFonts w:ascii="宋体" w:hAnsi="宋体" w:eastAsia="宋体"/>
        </w:rPr>
        <w:t>）红色：门框明显扭曲变形、严重开裂；改造经济成本过高，无实施改造价值。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第四条 </w:t>
      </w:r>
      <w:r>
        <w:rPr>
          <w:rFonts w:ascii="宋体" w:hAnsi="宋体" w:eastAsia="宋体"/>
        </w:rPr>
        <w:t>防护挡窗板、防护盖板</w:t>
      </w:r>
    </w:p>
    <w:p>
      <w:pPr>
        <w:spacing w:line="360" w:lineRule="exact"/>
        <w:ind w:firstLine="420" w:firstLineChars="200"/>
        <w:rPr>
          <w:rFonts w:ascii="宋体" w:hAnsi="宋体" w:eastAsia="宋体"/>
          <w:color w:val="000000" w:themeColor="text1"/>
          <w14:textFill>
            <w14:solidFill>
              <w14:schemeClr w14:val="tx1"/>
            </w14:solidFill>
          </w14:textFill>
        </w:rPr>
      </w:pPr>
      <w:r>
        <w:rPr>
          <w:rFonts w:ascii="宋体" w:hAnsi="宋体" w:eastAsia="宋体"/>
        </w:rPr>
        <w:t>全填土窗井、高出地面通风采光窗应设置合规</w:t>
      </w:r>
      <w:bookmarkStart w:id="27" w:name="OLE_LINK11"/>
      <w:r>
        <w:rPr>
          <w:rFonts w:ascii="宋体" w:hAnsi="宋体" w:eastAsia="宋体"/>
        </w:rPr>
        <w:t>防护挡窗板</w:t>
      </w:r>
      <w:bookmarkEnd w:id="27"/>
      <w:r>
        <w:rPr>
          <w:rFonts w:ascii="宋体" w:hAnsi="宋体" w:eastAsia="宋体"/>
        </w:rPr>
        <w:t>，防护挡窗板</w:t>
      </w:r>
      <w:r>
        <w:rPr>
          <w:rFonts w:hint="eastAsia" w:ascii="宋体" w:hAnsi="宋体" w:eastAsia="宋体"/>
        </w:rPr>
        <w:t>保存</w:t>
      </w:r>
      <w:r>
        <w:rPr>
          <w:rFonts w:ascii="宋体" w:hAnsi="宋体" w:eastAsia="宋体"/>
        </w:rPr>
        <w:t>完好</w:t>
      </w:r>
      <w:r>
        <w:rPr>
          <w:rFonts w:hint="eastAsia" w:ascii="宋体" w:hAnsi="宋体" w:eastAsia="宋体"/>
          <w:color w:val="000000" w:themeColor="text1"/>
          <w14:textFill>
            <w14:solidFill>
              <w14:schemeClr w14:val="tx1"/>
            </w14:solidFill>
          </w14:textFill>
        </w:rPr>
        <w:t>且</w:t>
      </w:r>
      <w:r>
        <w:rPr>
          <w:rFonts w:ascii="宋体" w:hAnsi="宋体" w:eastAsia="宋体"/>
        </w:rPr>
        <w:t>可正常开启；</w:t>
      </w:r>
      <w:r>
        <w:rPr>
          <w:rFonts w:hint="eastAsia" w:ascii="宋体" w:hAnsi="宋体" w:eastAsia="宋体"/>
          <w:color w:val="000000" w:themeColor="text1"/>
          <w14:textFill>
            <w14:solidFill>
              <w14:schemeClr w14:val="tx1"/>
            </w14:solidFill>
          </w14:textFill>
        </w:rPr>
        <w:t>半填土窗井通风采光窗应设有防护盖板，且防护盖板应保存完好。</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28" w:name="OLE_LINK30"/>
      <w:r>
        <w:rPr>
          <w:rFonts w:hint="eastAsia" w:ascii="宋体" w:hAnsi="宋体" w:eastAsia="宋体"/>
        </w:rPr>
        <w:t>评估方法：</w:t>
      </w:r>
    </w:p>
    <w:bookmarkEnd w:id="28"/>
    <w:p>
      <w:pPr>
        <w:spacing w:line="360" w:lineRule="exact"/>
        <w:ind w:firstLine="420" w:firstLineChars="200"/>
        <w:rPr>
          <w:rFonts w:ascii="宋体" w:hAnsi="宋体" w:eastAsia="宋体"/>
        </w:rPr>
      </w:pPr>
      <w:bookmarkStart w:id="29" w:name="OLE_LINK31"/>
      <w:r>
        <w:rPr>
          <w:rFonts w:hint="eastAsia" w:ascii="宋体" w:hAnsi="宋体" w:eastAsia="宋体"/>
        </w:rPr>
        <w:t>（一）</w:t>
      </w:r>
      <w:bookmarkEnd w:id="29"/>
      <w:r>
        <w:rPr>
          <w:rFonts w:ascii="宋体" w:hAnsi="宋体" w:eastAsia="宋体"/>
        </w:rPr>
        <w:t>绿色：完全满足要求。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黄色：不满足要求，但改造后可达标。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第五条 </w:t>
      </w:r>
      <w:r>
        <w:rPr>
          <w:rFonts w:ascii="宋体" w:hAnsi="宋体" w:eastAsia="宋体"/>
        </w:rPr>
        <w:t>防倒塌棚架</w:t>
      </w:r>
    </w:p>
    <w:p>
      <w:pPr>
        <w:spacing w:line="360" w:lineRule="exact"/>
        <w:ind w:firstLine="420" w:firstLineChars="200"/>
        <w:rPr>
          <w:rFonts w:ascii="宋体" w:hAnsi="宋体" w:eastAsia="宋体"/>
        </w:rPr>
      </w:pPr>
      <w:r>
        <w:rPr>
          <w:rFonts w:ascii="宋体" w:hAnsi="宋体" w:eastAsia="宋体"/>
        </w:rPr>
        <w:t>主要出入口通道出地面段、备用出入口、物资垂直运输口上方</w:t>
      </w:r>
      <w:r>
        <w:rPr>
          <w:rFonts w:hint="eastAsia" w:ascii="宋体" w:hAnsi="宋体" w:eastAsia="宋体"/>
        </w:rPr>
        <w:t>应</w:t>
      </w:r>
      <w:r>
        <w:rPr>
          <w:rFonts w:ascii="宋体" w:hAnsi="宋体" w:eastAsia="宋体"/>
        </w:rPr>
        <w:t>设置防倒塌棚架；</w:t>
      </w:r>
      <w:r>
        <w:rPr>
          <w:rFonts w:hint="eastAsia" w:ascii="宋体" w:hAnsi="宋体" w:eastAsia="宋体"/>
        </w:rPr>
        <w:t>防倒塌棚架应结构完整，无损坏、无锈蚀。</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30" w:name="OLE_LINK32"/>
      <w:r>
        <w:rPr>
          <w:rFonts w:hint="eastAsia" w:ascii="宋体" w:hAnsi="宋体" w:eastAsia="宋体"/>
        </w:rPr>
        <w:t>评估方法：</w:t>
      </w:r>
    </w:p>
    <w:bookmarkEnd w:id="30"/>
    <w:p>
      <w:pPr>
        <w:spacing w:line="360" w:lineRule="exact"/>
        <w:ind w:firstLine="420" w:firstLineChars="200"/>
        <w:rPr>
          <w:rFonts w:ascii="宋体" w:hAnsi="宋体" w:eastAsia="宋体"/>
        </w:rPr>
      </w:pPr>
      <w:bookmarkStart w:id="31" w:name="OLE_LINK33"/>
      <w:r>
        <w:rPr>
          <w:rFonts w:hint="eastAsia" w:ascii="宋体" w:hAnsi="宋体" w:eastAsia="宋体"/>
        </w:rPr>
        <w:t>（一）</w:t>
      </w:r>
      <w:bookmarkEnd w:id="31"/>
      <w:r>
        <w:rPr>
          <w:rFonts w:ascii="宋体" w:hAnsi="宋体" w:eastAsia="宋体"/>
        </w:rPr>
        <w:t>绿色：完全满足要求。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黄色：现状不满足，改造后可达标。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红色：棚架结构损坏，丧失防倒塌功能，无改造条件；改造经济成本过高，无实施改造价值。</w:t>
      </w:r>
    </w:p>
    <w:p>
      <w:pPr>
        <w:pStyle w:val="9"/>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32" w:name="_Toc239951075"/>
      <w:r>
        <w:rPr>
          <w:rFonts w:hint="eastAsia" w:ascii="黑体" w:hAnsi="黑体" w:eastAsia="黑体" w:cs="黑体"/>
          <w:color w:val="000000" w:themeColor="text1"/>
          <w:sz w:val="32"/>
          <w:szCs w:val="32"/>
          <w14:textFill>
            <w14:solidFill>
              <w14:schemeClr w14:val="tx1"/>
            </w14:solidFill>
          </w14:textFill>
        </w:rPr>
        <w:t>第二章 结构专业</w:t>
      </w:r>
      <w:bookmarkEnd w:id="32"/>
    </w:p>
    <w:p>
      <w:pPr>
        <w:spacing w:line="360" w:lineRule="exact"/>
        <w:rPr>
          <w:rFonts w:ascii="宋体" w:hAnsi="宋体" w:eastAsia="宋体"/>
        </w:rPr>
      </w:pPr>
      <w:r>
        <w:rPr>
          <w:rFonts w:hint="eastAsia" w:ascii="黑体" w:hAnsi="黑体" w:eastAsia="黑体" w:cs="Times New Roman"/>
          <w:kern w:val="0"/>
          <w:szCs w:val="21"/>
        </w:rPr>
        <w:t>第六条</w:t>
      </w:r>
      <w:r>
        <w:rPr>
          <w:rFonts w:ascii="黑体" w:hAnsi="黑体" w:eastAsia="黑体" w:cs="Times New Roman"/>
          <w:kern w:val="0"/>
          <w:szCs w:val="21"/>
        </w:rPr>
        <w:t xml:space="preserve">  </w:t>
      </w:r>
      <w:r>
        <w:rPr>
          <w:rFonts w:ascii="宋体" w:hAnsi="宋体" w:eastAsia="宋体"/>
        </w:rPr>
        <w:t>混凝土本体与渗漏</w:t>
      </w:r>
    </w:p>
    <w:p>
      <w:pPr>
        <w:spacing w:line="360" w:lineRule="exact"/>
        <w:ind w:firstLine="420" w:firstLineChars="200"/>
        <w:rPr>
          <w:rFonts w:ascii="宋体" w:hAnsi="宋体" w:eastAsia="宋体"/>
        </w:rPr>
      </w:pPr>
      <w:r>
        <w:rPr>
          <w:rFonts w:ascii="宋体" w:hAnsi="宋体" w:eastAsia="宋体"/>
        </w:rPr>
        <w:t>混凝土结构无明显损伤、变形、裂缝；混凝土保护层碳化腐蚀轻微；顶板、墙面、地面无渗漏水。</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w:t>
      </w:r>
      <w:r>
        <w:rPr>
          <w:rFonts w:ascii="宋体" w:hAnsi="宋体" w:eastAsia="宋体"/>
        </w:rPr>
        <w:t>绿色：全部质量要求满足。</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黄色：现状不满足，经维修维护后可达标。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红色：结构出现严重损伤、变形</w:t>
      </w:r>
      <w:r>
        <w:rPr>
          <w:rFonts w:hint="eastAsia" w:ascii="宋体" w:hAnsi="宋体" w:eastAsia="宋体"/>
        </w:rPr>
        <w:t>或贯穿裂缝</w:t>
      </w:r>
      <w:r>
        <w:rPr>
          <w:rFonts w:ascii="宋体" w:hAnsi="宋体" w:eastAsia="宋体"/>
        </w:rPr>
        <w:t>，无维修改造基础条件；</w:t>
      </w:r>
      <w:r>
        <w:rPr>
          <w:rFonts w:hint="eastAsia" w:ascii="宋体" w:hAnsi="宋体" w:eastAsia="宋体"/>
        </w:rPr>
        <w:t>由结构裂缝引发持续性渗漏水，防护单元内形成长期积水，影响人防防护功能或设备正常使用</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第七条</w:t>
      </w:r>
      <w:r>
        <w:rPr>
          <w:rFonts w:ascii="黑体" w:hAnsi="黑体" w:eastAsia="黑体" w:cs="Times New Roman"/>
          <w:kern w:val="0"/>
          <w:szCs w:val="21"/>
        </w:rPr>
        <w:t xml:space="preserve">  </w:t>
      </w:r>
      <w:r>
        <w:rPr>
          <w:rFonts w:ascii="宋体" w:hAnsi="宋体" w:eastAsia="宋体"/>
        </w:rPr>
        <w:t>外墙、临空墙、顶板</w:t>
      </w:r>
      <w:bookmarkStart w:id="33" w:name="OLE_LINK51"/>
      <w:r>
        <w:rPr>
          <w:rFonts w:ascii="宋体" w:hAnsi="宋体" w:eastAsia="宋体"/>
        </w:rPr>
        <w:t>、防护单元隔墙</w:t>
      </w:r>
      <w:bookmarkEnd w:id="33"/>
    </w:p>
    <w:p>
      <w:pPr>
        <w:spacing w:line="360" w:lineRule="exact"/>
        <w:ind w:firstLine="420" w:firstLineChars="200"/>
        <w:rPr>
          <w:rFonts w:ascii="宋体" w:hAnsi="宋体" w:eastAsia="宋体"/>
        </w:rPr>
      </w:pPr>
      <w:r>
        <w:rPr>
          <w:rFonts w:ascii="宋体" w:hAnsi="宋体" w:eastAsia="宋体"/>
        </w:rPr>
        <w:t>外墙、临空墙、顶板、</w:t>
      </w:r>
      <w:r>
        <w:rPr>
          <w:rFonts w:hint="eastAsia" w:ascii="宋体" w:hAnsi="宋体" w:eastAsia="宋体"/>
        </w:rPr>
        <w:t>防护单元隔墙</w:t>
      </w:r>
      <w:r>
        <w:rPr>
          <w:rFonts w:ascii="宋体" w:hAnsi="宋体" w:eastAsia="宋体"/>
        </w:rPr>
        <w:t>结构完整，不存在影响防护功能的开洞。</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bookmarkStart w:id="34" w:name="OLE_LINK34"/>
      <w:r>
        <w:rPr>
          <w:rFonts w:hint="eastAsia" w:ascii="宋体" w:hAnsi="宋体" w:eastAsia="宋体"/>
        </w:rPr>
        <w:t>评估方法：</w:t>
      </w:r>
    </w:p>
    <w:bookmarkEnd w:id="34"/>
    <w:p>
      <w:pPr>
        <w:spacing w:line="360" w:lineRule="exact"/>
        <w:ind w:firstLine="420" w:firstLineChars="200"/>
        <w:rPr>
          <w:rFonts w:ascii="宋体" w:hAnsi="宋体" w:eastAsia="宋体"/>
        </w:rPr>
      </w:pPr>
      <w:bookmarkStart w:id="35" w:name="OLE_LINK35"/>
      <w:r>
        <w:rPr>
          <w:rFonts w:hint="eastAsia" w:ascii="宋体" w:hAnsi="宋体" w:eastAsia="宋体"/>
        </w:rPr>
        <w:t>（一）</w:t>
      </w:r>
      <w:bookmarkEnd w:id="35"/>
      <w:r>
        <w:rPr>
          <w:rFonts w:ascii="宋体" w:hAnsi="宋体" w:eastAsia="宋体"/>
        </w:rPr>
        <w:t>绿色：结构完整，无影响防护功能</w:t>
      </w:r>
      <w:r>
        <w:rPr>
          <w:rFonts w:hint="eastAsia" w:ascii="宋体" w:hAnsi="宋体" w:eastAsia="宋体"/>
        </w:rPr>
        <w:t>的开</w:t>
      </w:r>
      <w:r>
        <w:rPr>
          <w:rFonts w:ascii="宋体" w:hAnsi="宋体" w:eastAsia="宋体"/>
        </w:rPr>
        <w:t>洞。</w:t>
      </w:r>
    </w:p>
    <w:p>
      <w:pPr>
        <w:spacing w:line="360" w:lineRule="exact"/>
        <w:ind w:firstLine="420" w:firstLineChars="200"/>
        <w:rPr>
          <w:rFonts w:ascii="宋体" w:hAnsi="宋体" w:eastAsia="宋体"/>
        </w:rPr>
      </w:pPr>
      <w:r>
        <w:rPr>
          <w:rFonts w:hint="eastAsia" w:ascii="宋体" w:hAnsi="宋体" w:eastAsia="宋体"/>
        </w:rPr>
        <w:t>（二）黄色：存在</w:t>
      </w:r>
      <w:r>
        <w:rPr>
          <w:rFonts w:ascii="宋体" w:hAnsi="宋体" w:eastAsia="宋体"/>
        </w:rPr>
        <w:t xml:space="preserve"> 1 </w:t>
      </w:r>
      <w:r>
        <w:rPr>
          <w:rFonts w:hint="eastAsia" w:ascii="宋体" w:hAnsi="宋体" w:eastAsia="宋体"/>
        </w:rPr>
        <w:t>处开洞，洞口面积</w:t>
      </w:r>
      <w:bookmarkStart w:id="36" w:name="OLE_LINK54"/>
      <w:bookmarkStart w:id="37" w:name="OLE_LINK53"/>
      <w:r>
        <w:rPr>
          <w:rFonts w:hint="eastAsia" w:ascii="宋体" w:hAnsi="宋体" w:eastAsia="宋体"/>
        </w:rPr>
        <w:t>小于等于</w:t>
      </w:r>
      <w:bookmarkEnd w:id="36"/>
      <w:bookmarkEnd w:id="37"/>
      <w:r>
        <w:rPr>
          <w:rFonts w:ascii="宋体" w:hAnsi="宋体" w:eastAsia="宋体"/>
        </w:rPr>
        <w:t>0.1</w:t>
      </w:r>
      <w:r>
        <w:rPr>
          <w:rFonts w:hint="eastAsia"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（三）红色：单处开洞大于</w:t>
      </w:r>
      <w:r>
        <w:rPr>
          <w:rFonts w:ascii="宋体" w:hAnsi="宋体" w:eastAsia="宋体"/>
        </w:rPr>
        <w:t>0.1</w:t>
      </w:r>
      <w:r>
        <w:rPr>
          <w:rFonts w:hint="eastAsia" w:ascii="宋体" w:hAnsi="宋体" w:eastAsia="宋体"/>
        </w:rPr>
        <w:t>㎡；存在多处开洞。</w:t>
      </w:r>
    </w:p>
    <w:p>
      <w:pPr>
        <w:spacing w:line="360" w:lineRule="exact"/>
        <w:rPr>
          <w:rFonts w:ascii="宋体" w:hAnsi="宋体" w:eastAsia="宋体"/>
        </w:rPr>
      </w:pPr>
      <w:r>
        <w:rPr>
          <w:rFonts w:hint="eastAsia" w:ascii="黑体" w:hAnsi="黑体" w:eastAsia="黑体" w:cs="Times New Roman"/>
          <w:kern w:val="0"/>
          <w:szCs w:val="21"/>
        </w:rPr>
        <w:t>第八条</w:t>
      </w:r>
      <w:r>
        <w:rPr>
          <w:rFonts w:ascii="黑体" w:hAnsi="黑体" w:eastAsia="黑体" w:cs="Times New Roman"/>
          <w:kern w:val="0"/>
          <w:szCs w:val="21"/>
        </w:rPr>
        <w:t xml:space="preserve">  </w:t>
      </w:r>
      <w:r>
        <w:rPr>
          <w:rFonts w:ascii="宋体" w:hAnsi="宋体" w:eastAsia="宋体"/>
        </w:rPr>
        <w:t>门框墙</w:t>
      </w:r>
    </w:p>
    <w:p>
      <w:pPr>
        <w:spacing w:line="360" w:lineRule="exact"/>
        <w:ind w:firstLine="420" w:firstLineChars="200"/>
        <w:rPr>
          <w:rFonts w:ascii="宋体" w:hAnsi="宋体" w:eastAsia="宋体"/>
        </w:rPr>
      </w:pPr>
      <w:r>
        <w:rPr>
          <w:rFonts w:ascii="宋体" w:hAnsi="宋体" w:eastAsia="宋体"/>
        </w:rPr>
        <w:t>门框墙结构完整。</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bookmarkStart w:id="38" w:name="OLE_LINK36"/>
      <w:r>
        <w:rPr>
          <w:rFonts w:hint="eastAsia" w:ascii="宋体" w:hAnsi="宋体" w:eastAsia="宋体"/>
        </w:rPr>
        <w:t>评估方法：</w:t>
      </w:r>
    </w:p>
    <w:bookmarkEnd w:id="38"/>
    <w:p>
      <w:pPr>
        <w:spacing w:line="360" w:lineRule="exact"/>
        <w:ind w:firstLine="420" w:firstLineChars="200"/>
        <w:rPr>
          <w:rFonts w:ascii="宋体" w:hAnsi="宋体" w:eastAsia="宋体"/>
        </w:rPr>
      </w:pPr>
      <w:bookmarkStart w:id="39" w:name="OLE_LINK37"/>
      <w:r>
        <w:rPr>
          <w:rFonts w:hint="eastAsia" w:ascii="宋体" w:hAnsi="宋体" w:eastAsia="宋体"/>
        </w:rPr>
        <w:t>（一）</w:t>
      </w:r>
      <w:bookmarkEnd w:id="39"/>
      <w:r>
        <w:rPr>
          <w:rFonts w:ascii="宋体" w:hAnsi="宋体" w:eastAsia="宋体"/>
        </w:rPr>
        <w:t>绿色：结构完整，无影响防护功能开洞。</w:t>
      </w:r>
    </w:p>
    <w:p>
      <w:pPr>
        <w:spacing w:line="360" w:lineRule="exact"/>
        <w:ind w:firstLine="420" w:firstLineChars="200"/>
        <w:rPr>
          <w:rFonts w:ascii="宋体" w:hAnsi="宋体" w:eastAsia="宋体"/>
        </w:rPr>
      </w:pPr>
      <w:r>
        <w:rPr>
          <w:rFonts w:hint="eastAsia" w:ascii="宋体" w:hAnsi="宋体" w:eastAsia="宋体"/>
        </w:rPr>
        <w:t>（二）黄色：存在</w:t>
      </w:r>
      <w:r>
        <w:rPr>
          <w:rFonts w:ascii="宋体" w:hAnsi="宋体" w:eastAsia="宋体"/>
        </w:rPr>
        <w:t xml:space="preserve"> 1 </w:t>
      </w:r>
      <w:r>
        <w:rPr>
          <w:rFonts w:hint="eastAsia" w:ascii="宋体" w:hAnsi="宋体" w:eastAsia="宋体"/>
        </w:rPr>
        <w:t>处开洞，洞口面积小于等于</w:t>
      </w:r>
      <w:r>
        <w:rPr>
          <w:rFonts w:ascii="宋体" w:hAnsi="宋体" w:eastAsia="宋体"/>
        </w:rPr>
        <w:t>0.</w:t>
      </w:r>
      <w:bookmarkStart w:id="40" w:name="OLE_LINK63"/>
      <w:bookmarkStart w:id="41" w:name="OLE_LINK62"/>
      <w:r>
        <w:rPr>
          <w:rFonts w:ascii="宋体" w:hAnsi="宋体" w:eastAsia="宋体"/>
        </w:rPr>
        <w:t>05</w:t>
      </w:r>
      <w:bookmarkEnd w:id="40"/>
      <w:bookmarkEnd w:id="41"/>
      <w:r>
        <w:rPr>
          <w:rFonts w:hint="eastAsia"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（三）红色：单处开洞大于</w:t>
      </w:r>
      <w:r>
        <w:rPr>
          <w:rFonts w:ascii="宋体" w:hAnsi="宋体" w:eastAsia="宋体"/>
        </w:rPr>
        <w:t>0.05</w:t>
      </w:r>
      <w:r>
        <w:rPr>
          <w:rFonts w:hint="eastAsia" w:ascii="宋体" w:hAnsi="宋体" w:eastAsia="宋体"/>
        </w:rPr>
        <w:t>㎡，或存在多处开洞。</w:t>
      </w:r>
    </w:p>
    <w:p>
      <w:pPr>
        <w:pStyle w:val="9"/>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42" w:name="_Toc239951076"/>
      <w:r>
        <w:rPr>
          <w:rFonts w:hint="eastAsia" w:ascii="黑体" w:hAnsi="黑体" w:eastAsia="黑体" w:cs="黑体"/>
          <w:color w:val="000000" w:themeColor="text1"/>
          <w:sz w:val="32"/>
          <w:szCs w:val="32"/>
          <w14:textFill>
            <w14:solidFill>
              <w14:schemeClr w14:val="tx1"/>
            </w14:solidFill>
          </w14:textFill>
        </w:rPr>
        <w:t>第三章 通风空调专业</w:t>
      </w:r>
      <w:bookmarkEnd w:id="42"/>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第九条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消波设施</w:t>
      </w:r>
    </w:p>
    <w:p>
      <w:pPr>
        <w:spacing w:line="360" w:lineRule="exact"/>
        <w:ind w:firstLine="420" w:firstLineChars="200"/>
        <w:rPr>
          <w:rFonts w:ascii="宋体" w:hAnsi="宋体" w:eastAsia="宋体"/>
        </w:rPr>
      </w:pPr>
      <w:bookmarkStart w:id="43" w:name="OLE_LINK38"/>
      <w:r>
        <w:rPr>
          <w:rFonts w:hint="eastAsia" w:ascii="宋体" w:hAnsi="宋体" w:eastAsia="宋体"/>
        </w:rPr>
        <w:t>人防工程的进风口、排风口设置有消波设施，包括</w:t>
      </w:r>
      <w:bookmarkEnd w:id="43"/>
      <w:r>
        <w:rPr>
          <w:rFonts w:hint="eastAsia" w:ascii="宋体" w:hAnsi="宋体" w:eastAsia="宋体"/>
        </w:rPr>
        <w:t>悬板式防爆波活门或胶管式防爆波活门，</w:t>
      </w:r>
      <w:r>
        <w:rPr>
          <w:rFonts w:ascii="宋体" w:hAnsi="宋体" w:eastAsia="宋体"/>
        </w:rPr>
        <w:t>型号、数量、位置符合设计；悬板</w:t>
      </w:r>
      <w:r>
        <w:rPr>
          <w:rFonts w:hint="eastAsia" w:ascii="宋体" w:hAnsi="宋体" w:eastAsia="宋体"/>
        </w:rPr>
        <w:t>或</w:t>
      </w:r>
      <w:r>
        <w:rPr>
          <w:rFonts w:ascii="宋体" w:hAnsi="宋体" w:eastAsia="宋体"/>
        </w:rPr>
        <w:t>胶管完好、转动灵活，</w:t>
      </w:r>
      <w:r>
        <w:rPr>
          <w:rFonts w:hint="eastAsia" w:ascii="宋体" w:hAnsi="宋体" w:eastAsia="宋体"/>
        </w:rPr>
        <w:t>关闭严密，表面平整，无龟裂。</w:t>
      </w:r>
    </w:p>
    <w:p>
      <w:pPr>
        <w:spacing w:line="360" w:lineRule="exact"/>
        <w:ind w:firstLine="420" w:firstLineChars="200"/>
        <w:rPr>
          <w:rFonts w:ascii="宋体" w:hAnsi="宋体" w:eastAsia="宋体"/>
        </w:rPr>
      </w:pPr>
      <w:r>
        <w:rPr>
          <w:rFonts w:ascii="宋体" w:hAnsi="宋体" w:eastAsia="宋体"/>
        </w:rPr>
        <w:t>检查方式：现场观测、启闭操作。</w:t>
      </w:r>
    </w:p>
    <w:p>
      <w:pPr>
        <w:spacing w:line="360" w:lineRule="exact"/>
        <w:ind w:firstLine="420" w:firstLineChars="200"/>
        <w:rPr>
          <w:rFonts w:ascii="宋体" w:hAnsi="宋体" w:eastAsia="宋体"/>
        </w:rPr>
      </w:pPr>
      <w:bookmarkStart w:id="44" w:name="OLE_LINK41"/>
      <w:r>
        <w:rPr>
          <w:rFonts w:hint="eastAsia" w:ascii="宋体" w:hAnsi="宋体" w:eastAsia="宋体"/>
        </w:rPr>
        <w:t>评估方法：</w:t>
      </w:r>
    </w:p>
    <w:bookmarkEnd w:id="44"/>
    <w:p>
      <w:pPr>
        <w:spacing w:line="360" w:lineRule="exact"/>
        <w:ind w:firstLine="420" w:firstLineChars="200"/>
        <w:rPr>
          <w:rFonts w:ascii="宋体" w:hAnsi="宋体" w:eastAsia="宋体"/>
        </w:rPr>
      </w:pPr>
      <w:bookmarkStart w:id="45" w:name="OLE_LINK42"/>
      <w:r>
        <w:rPr>
          <w:rFonts w:hint="eastAsia" w:ascii="宋体" w:hAnsi="宋体" w:eastAsia="宋体"/>
        </w:rPr>
        <w:t>（一）</w:t>
      </w:r>
      <w:bookmarkEnd w:id="45"/>
      <w:r>
        <w:rPr>
          <w:rFonts w:ascii="宋体" w:hAnsi="宋体" w:eastAsia="宋体"/>
        </w:rPr>
        <w:t>绿色：按要求设置，设备工况正常。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黄色：已设置，部分设备维修后可正常使用；未设置，但可新增改造达标。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红色：未按要求设置，或设施失效，无增设改造条件；改造经济成本过高，无实施改造价值。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滤毒通风设备</w:t>
      </w:r>
    </w:p>
    <w:p>
      <w:pPr>
        <w:spacing w:line="360" w:lineRule="exact"/>
        <w:ind w:firstLine="420" w:firstLineChars="200"/>
        <w:rPr>
          <w:rFonts w:ascii="宋体" w:hAnsi="宋体" w:eastAsia="宋体"/>
        </w:rPr>
      </w:pPr>
      <w:r>
        <w:rPr>
          <w:rFonts w:ascii="宋体" w:hAnsi="宋体" w:eastAsia="宋体"/>
        </w:rPr>
        <w:t>设置滤毒通风的</w:t>
      </w:r>
      <w:r>
        <w:rPr>
          <w:rFonts w:hint="eastAsia" w:ascii="宋体" w:hAnsi="宋体" w:eastAsia="宋体"/>
        </w:rPr>
        <w:t>人防</w:t>
      </w:r>
      <w:r>
        <w:rPr>
          <w:rFonts w:ascii="宋体" w:hAnsi="宋体" w:eastAsia="宋体"/>
        </w:rPr>
        <w:t>工程，油网滤尘器、过滤吸收器、密闭阀门型号、数量、位置符合设计，</w:t>
      </w:r>
      <w:r>
        <w:rPr>
          <w:rFonts w:hint="eastAsia" w:ascii="宋体" w:hAnsi="宋体" w:eastAsia="宋体"/>
        </w:rPr>
        <w:t>密闭阀门启闭灵活，关闭到位，机构完好。</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现场核查核对，密闭阀门启闭操作。</w:t>
      </w:r>
    </w:p>
    <w:p>
      <w:pPr>
        <w:spacing w:line="360" w:lineRule="exact"/>
        <w:ind w:firstLine="420" w:firstLineChars="200"/>
        <w:rPr>
          <w:rFonts w:ascii="宋体" w:hAnsi="宋体" w:eastAsia="宋体"/>
        </w:rPr>
      </w:pPr>
      <w:bookmarkStart w:id="46" w:name="OLE_LINK43"/>
      <w:r>
        <w:rPr>
          <w:rFonts w:hint="eastAsia" w:ascii="宋体" w:hAnsi="宋体" w:eastAsia="宋体"/>
        </w:rPr>
        <w:t>评估方法：</w:t>
      </w:r>
    </w:p>
    <w:bookmarkEnd w:id="46"/>
    <w:p>
      <w:pPr>
        <w:spacing w:line="360" w:lineRule="exact"/>
        <w:ind w:firstLine="315" w:firstLineChars="150"/>
        <w:rPr>
          <w:rFonts w:ascii="宋体" w:hAnsi="宋体" w:eastAsia="宋体"/>
        </w:rPr>
      </w:pPr>
      <w:bookmarkStart w:id="47" w:name="OLE_LINK44"/>
      <w:r>
        <w:rPr>
          <w:rFonts w:hint="eastAsia" w:ascii="宋体" w:hAnsi="宋体" w:eastAsia="宋体"/>
        </w:rPr>
        <w:t>（一）</w:t>
      </w:r>
      <w:bookmarkEnd w:id="47"/>
      <w:r>
        <w:rPr>
          <w:rFonts w:ascii="宋体" w:hAnsi="宋体" w:eastAsia="宋体"/>
        </w:rPr>
        <w:t>绿色：设备齐全，</w:t>
      </w:r>
      <w:r>
        <w:rPr>
          <w:rFonts w:hint="eastAsia" w:ascii="宋体" w:hAnsi="宋体" w:eastAsia="宋体"/>
        </w:rPr>
        <w:t>密闭阀门</w:t>
      </w:r>
      <w:r>
        <w:rPr>
          <w:rFonts w:ascii="宋体" w:hAnsi="宋体" w:eastAsia="宋体"/>
        </w:rPr>
        <w:t>使用正常。</w:t>
      </w:r>
    </w:p>
    <w:p>
      <w:pPr>
        <w:spacing w:line="360" w:lineRule="exact"/>
        <w:ind w:firstLine="315" w:firstLineChars="150"/>
        <w:rPr>
          <w:rFonts w:ascii="宋体" w:hAnsi="宋体" w:eastAsia="宋体"/>
        </w:rPr>
      </w:pPr>
      <w:r>
        <w:rPr>
          <w:rFonts w:hint="eastAsia" w:ascii="宋体" w:hAnsi="宋体" w:eastAsia="宋体"/>
        </w:rPr>
        <w:t>（二）</w:t>
      </w:r>
      <w:r>
        <w:rPr>
          <w:rFonts w:ascii="宋体" w:hAnsi="宋体" w:eastAsia="宋体"/>
        </w:rPr>
        <w:t>黄色：已配置，部分维修后可使用；未配置，可新增改造达标。</w:t>
      </w:r>
    </w:p>
    <w:p>
      <w:pPr>
        <w:spacing w:line="360" w:lineRule="exact"/>
        <w:ind w:firstLine="315" w:firstLineChars="150"/>
        <w:rPr>
          <w:rFonts w:ascii="宋体" w:hAnsi="宋体" w:eastAsia="宋体"/>
        </w:rPr>
      </w:pPr>
      <w:r>
        <w:rPr>
          <w:rFonts w:hint="eastAsia" w:ascii="宋体" w:hAnsi="宋体" w:eastAsia="宋体"/>
        </w:rPr>
        <w:t>（三）</w:t>
      </w:r>
      <w:r>
        <w:rPr>
          <w:rFonts w:ascii="宋体" w:hAnsi="宋体" w:eastAsia="宋体"/>
        </w:rPr>
        <w:t>红色：未按要求配置，</w:t>
      </w:r>
      <w:r>
        <w:rPr>
          <w:rFonts w:hint="eastAsia" w:ascii="宋体" w:hAnsi="宋体" w:eastAsia="宋体"/>
        </w:rPr>
        <w:t>受建筑结构、空间限制无增设改造条件</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第十一条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自动排气活门</w:t>
      </w:r>
    </w:p>
    <w:p>
      <w:pPr>
        <w:spacing w:line="360" w:lineRule="exact"/>
        <w:ind w:firstLine="422" w:firstLineChars="201"/>
        <w:rPr>
          <w:rFonts w:ascii="宋体" w:hAnsi="宋体" w:eastAsia="宋体"/>
        </w:rPr>
      </w:pPr>
      <w:r>
        <w:rPr>
          <w:rFonts w:ascii="宋体" w:hAnsi="宋体" w:eastAsia="宋体"/>
        </w:rPr>
        <w:t>设置滤毒通风的工程，排风口部设置自动排气活门，型号、数量、位置符合设计，</w:t>
      </w:r>
      <w:r>
        <w:rPr>
          <w:rFonts w:hint="eastAsia" w:ascii="宋体" w:hAnsi="宋体" w:eastAsia="宋体"/>
        </w:rPr>
        <w:t>能正常工作运行。</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w:t>
      </w:r>
      <w:r>
        <w:rPr>
          <w:rFonts w:ascii="宋体" w:hAnsi="宋体" w:eastAsia="宋体"/>
        </w:rPr>
        <w:t>现场启闭</w:t>
      </w:r>
      <w:bookmarkStart w:id="48" w:name="OLE_LINK25"/>
      <w:bookmarkStart w:id="49" w:name="OLE_LINK24"/>
      <w:r>
        <w:rPr>
          <w:rFonts w:hint="eastAsia" w:ascii="宋体" w:hAnsi="宋体" w:eastAsia="宋体"/>
        </w:rPr>
        <w:t>操作</w:t>
      </w:r>
      <w:bookmarkEnd w:id="48"/>
      <w:bookmarkEnd w:id="49"/>
      <w:r>
        <w:rPr>
          <w:rFonts w:ascii="宋体" w:hAnsi="宋体" w:eastAsia="宋体"/>
        </w:rPr>
        <w:t>。</w:t>
      </w:r>
    </w:p>
    <w:p>
      <w:pPr>
        <w:spacing w:line="360" w:lineRule="exact"/>
        <w:ind w:firstLine="420" w:firstLineChars="200"/>
        <w:rPr>
          <w:rFonts w:ascii="宋体" w:hAnsi="宋体" w:eastAsia="宋体"/>
        </w:rPr>
      </w:pPr>
      <w:bookmarkStart w:id="50" w:name="OLE_LINK45"/>
      <w:r>
        <w:rPr>
          <w:rFonts w:hint="eastAsia" w:ascii="宋体" w:hAnsi="宋体" w:eastAsia="宋体"/>
        </w:rPr>
        <w:t>评估方法：</w:t>
      </w:r>
    </w:p>
    <w:bookmarkEnd w:id="50"/>
    <w:p>
      <w:pPr>
        <w:spacing w:line="360" w:lineRule="exact"/>
        <w:ind w:firstLine="420" w:firstLineChars="200"/>
        <w:rPr>
          <w:rFonts w:ascii="宋体" w:hAnsi="宋体" w:eastAsia="宋体"/>
        </w:rPr>
      </w:pPr>
      <w:bookmarkStart w:id="51" w:name="OLE_LINK46"/>
      <w:r>
        <w:rPr>
          <w:rFonts w:hint="eastAsia" w:ascii="宋体" w:hAnsi="宋体" w:eastAsia="宋体"/>
        </w:rPr>
        <w:t>（一）</w:t>
      </w:r>
      <w:bookmarkEnd w:id="51"/>
      <w:r>
        <w:rPr>
          <w:rFonts w:ascii="宋体" w:hAnsi="宋体" w:eastAsia="宋体"/>
        </w:rPr>
        <w:t>绿色：配置齐全，设备</w:t>
      </w:r>
      <w:r>
        <w:rPr>
          <w:rFonts w:hint="eastAsia" w:ascii="宋体" w:hAnsi="宋体" w:eastAsia="宋体"/>
        </w:rPr>
        <w:t>启闭灵活，密封性能良好</w:t>
      </w:r>
      <w:r>
        <w:rPr>
          <w:rFonts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黄色：已设置，部分维修后可用；未设置，可新增改造达标。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未配置或损坏无法修复，且受安装空间、结构限制无法增设改造；</w:t>
      </w:r>
      <w:r>
        <w:rPr>
          <w:rFonts w:ascii="宋体" w:hAnsi="宋体" w:eastAsia="宋体"/>
        </w:rPr>
        <w:t>改造经济成本过高，无实施改造价值。</w:t>
      </w:r>
    </w:p>
    <w:p>
      <w:pPr>
        <w:spacing w:line="360" w:lineRule="exact"/>
        <w:rPr>
          <w:rFonts w:ascii="宋体" w:hAnsi="宋体" w:eastAsia="宋体"/>
          <w:color w:val="000000" w:themeColor="text1"/>
          <w14:textFill>
            <w14:solidFill>
              <w14:schemeClr w14:val="tx1"/>
            </w14:solidFill>
          </w14:textFill>
        </w:rPr>
      </w:pPr>
      <w:r>
        <w:rPr>
          <w:rFonts w:hint="eastAsia" w:ascii="黑体" w:hAnsi="黑体" w:eastAsia="黑体" w:cs="Times New Roman"/>
          <w:color w:val="000000" w:themeColor="text1"/>
          <w:kern w:val="0"/>
          <w:szCs w:val="21"/>
          <w14:textFill>
            <w14:solidFill>
              <w14:schemeClr w14:val="tx1"/>
            </w14:solidFill>
          </w14:textFill>
        </w:rPr>
        <w:t xml:space="preserve">第十二条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战时</w:t>
      </w:r>
      <w:r>
        <w:rPr>
          <w:rFonts w:ascii="宋体" w:hAnsi="宋体" w:eastAsia="宋体"/>
          <w:color w:val="000000" w:themeColor="text1"/>
          <w14:textFill>
            <w14:solidFill>
              <w14:schemeClr w14:val="tx1"/>
            </w14:solidFill>
          </w14:textFill>
        </w:rPr>
        <w:t>进排风机</w:t>
      </w:r>
    </w:p>
    <w:p>
      <w:pPr>
        <w:spacing w:line="360" w:lineRule="exact"/>
        <w:ind w:firstLine="420" w:firstLineChars="200"/>
        <w:rPr>
          <w:rFonts w:ascii="宋体" w:hAnsi="宋体" w:eastAsia="宋体"/>
        </w:rPr>
      </w:pPr>
      <w:r>
        <w:rPr>
          <w:rFonts w:hint="eastAsia" w:ascii="宋体" w:hAnsi="宋体" w:eastAsia="宋体"/>
        </w:rPr>
        <w:t>人防工程战时进、排风口配套进排风机，型号、数量、安装位置符合要求，能正常工作运行。</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现场核查核对，开机运行检查。</w:t>
      </w:r>
    </w:p>
    <w:p>
      <w:pPr>
        <w:spacing w:line="360" w:lineRule="exact"/>
        <w:ind w:firstLine="420" w:firstLineChars="200"/>
        <w:rPr>
          <w:rFonts w:ascii="宋体" w:hAnsi="宋体" w:eastAsia="宋体"/>
        </w:rPr>
      </w:pPr>
      <w:bookmarkStart w:id="52" w:name="OLE_LINK49"/>
      <w:r>
        <w:rPr>
          <w:rFonts w:hint="eastAsia" w:ascii="宋体" w:hAnsi="宋体" w:eastAsia="宋体"/>
        </w:rPr>
        <w:t>评估方法：</w:t>
      </w:r>
    </w:p>
    <w:bookmarkEnd w:id="52"/>
    <w:p>
      <w:pPr>
        <w:spacing w:line="360" w:lineRule="exact"/>
        <w:ind w:firstLine="420" w:firstLineChars="200"/>
        <w:rPr>
          <w:rFonts w:ascii="宋体" w:hAnsi="宋体" w:eastAsia="宋体"/>
        </w:rPr>
      </w:pPr>
      <w:bookmarkStart w:id="53" w:name="OLE_LINK50"/>
      <w:r>
        <w:rPr>
          <w:rFonts w:hint="eastAsia" w:ascii="宋体" w:hAnsi="宋体" w:eastAsia="宋体"/>
        </w:rPr>
        <w:t>（一）</w:t>
      </w:r>
      <w:bookmarkEnd w:id="53"/>
      <w:r>
        <w:rPr>
          <w:rFonts w:ascii="宋体" w:hAnsi="宋体" w:eastAsia="宋体"/>
        </w:rPr>
        <w:t>绿色：风机配置到位，运行正常。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黄色：已设置，维修后可正常运行；未设置，可新增改造达标。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红色：未配置，</w:t>
      </w:r>
      <w:bookmarkStart w:id="54" w:name="OLE_LINK22"/>
      <w:bookmarkStart w:id="55" w:name="OLE_LINK23"/>
      <w:r>
        <w:rPr>
          <w:rFonts w:hint="eastAsia" w:ascii="宋体" w:hAnsi="宋体" w:eastAsia="宋体"/>
        </w:rPr>
        <w:t>且机房空间、供电条件不满足增设改造要求</w:t>
      </w:r>
      <w:r>
        <w:rPr>
          <w:rFonts w:ascii="宋体" w:hAnsi="宋体" w:eastAsia="宋体"/>
        </w:rPr>
        <w:t>；改造经济成本过高，无实施改造价值。</w:t>
      </w:r>
      <w:bookmarkEnd w:id="54"/>
      <w:bookmarkEnd w:id="55"/>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第十三条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rPr>
        <w:t>压差测量装置</w:t>
      </w:r>
    </w:p>
    <w:p>
      <w:pPr>
        <w:spacing w:line="360" w:lineRule="exact"/>
        <w:ind w:firstLine="420" w:firstLineChars="200"/>
        <w:rPr>
          <w:rFonts w:ascii="宋体" w:hAnsi="宋体" w:eastAsia="宋体"/>
        </w:rPr>
      </w:pPr>
      <w:r>
        <w:rPr>
          <w:rFonts w:hint="eastAsia" w:ascii="宋体" w:hAnsi="宋体" w:eastAsia="宋体"/>
        </w:rPr>
        <w:t>设滤毒通风的人防工程，应设置有压差测量装置，仪表显示准确，能有效监测压差变化情况。</w:t>
      </w:r>
    </w:p>
    <w:p>
      <w:pPr>
        <w:spacing w:line="360" w:lineRule="exact"/>
        <w:ind w:firstLine="420" w:firstLineChars="200"/>
        <w:rPr>
          <w:rFonts w:ascii="宋体" w:hAnsi="宋体" w:eastAsia="宋体"/>
        </w:rPr>
      </w:pPr>
      <w:r>
        <w:rPr>
          <w:rFonts w:hint="eastAsia" w:ascii="宋体" w:hAnsi="宋体" w:eastAsia="宋体"/>
        </w:rPr>
        <w:t>检查方式：现场核查核对。</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（一）绿色：按要求设置了压差测量装置，设备使用正常。</w:t>
      </w:r>
    </w:p>
    <w:p>
      <w:pPr>
        <w:spacing w:line="360" w:lineRule="exact"/>
        <w:ind w:firstLine="420" w:firstLineChars="200"/>
        <w:rPr>
          <w:rFonts w:ascii="宋体" w:hAnsi="宋体" w:eastAsia="宋体"/>
        </w:rPr>
      </w:pPr>
      <w:r>
        <w:rPr>
          <w:rFonts w:hint="eastAsia" w:ascii="宋体" w:hAnsi="宋体" w:eastAsia="宋体"/>
        </w:rPr>
        <w:t>（二）黄色：按要求设置了压差测量装置，经维护或维修后可正常使用；未按要求设置压差测量装置，经增加设备或改造后可正常使用。</w:t>
      </w:r>
    </w:p>
    <w:p>
      <w:pPr>
        <w:spacing w:line="360" w:lineRule="exact"/>
        <w:ind w:firstLine="420" w:firstLineChars="200"/>
        <w:rPr>
          <w:rFonts w:ascii="宋体" w:hAnsi="宋体" w:eastAsia="宋体"/>
        </w:rPr>
      </w:pPr>
      <w:r>
        <w:rPr>
          <w:rFonts w:hint="eastAsia" w:ascii="宋体" w:hAnsi="宋体" w:eastAsia="宋体"/>
        </w:rPr>
        <w:t>（三）红色：未按要求设置压差测量装置，且受建筑布局、管线条件限制无法增设改造；改造经济成本过高，无实施改造价值。</w:t>
      </w:r>
    </w:p>
    <w:p>
      <w:pPr>
        <w:ind w:firstLine="420" w:firstLineChars="200"/>
        <w:rPr>
          <w:rFonts w:ascii="宋体" w:hAnsi="宋体" w:eastAsia="宋体"/>
        </w:rPr>
      </w:pPr>
    </w:p>
    <w:p>
      <w:pPr>
        <w:pStyle w:val="9"/>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56" w:name="_Toc239951077"/>
      <w:r>
        <w:rPr>
          <w:rFonts w:hint="eastAsia" w:ascii="黑体" w:hAnsi="黑体" w:eastAsia="黑体" w:cs="黑体"/>
          <w:color w:val="000000" w:themeColor="text1"/>
          <w:sz w:val="32"/>
          <w:szCs w:val="32"/>
          <w14:textFill>
            <w14:solidFill>
              <w14:schemeClr w14:val="tx1"/>
            </w14:solidFill>
          </w14:textFill>
        </w:rPr>
        <w:t>第四章 给水排水专业</w:t>
      </w:r>
      <w:bookmarkEnd w:id="56"/>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第十四条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贮水箱（含预留条件）</w:t>
      </w:r>
    </w:p>
    <w:p>
      <w:pPr>
        <w:spacing w:line="360" w:lineRule="exact"/>
        <w:ind w:firstLine="420" w:firstLineChars="200"/>
        <w:rPr>
          <w:rFonts w:ascii="宋体" w:hAnsi="宋体" w:eastAsia="宋体"/>
        </w:rPr>
      </w:pPr>
      <w:bookmarkStart w:id="57" w:name="OLE_LINK52"/>
      <w:r>
        <w:rPr>
          <w:rFonts w:ascii="宋体" w:hAnsi="宋体" w:eastAsia="宋体"/>
        </w:rPr>
        <w:t>各防护单元</w:t>
      </w:r>
      <w:r>
        <w:rPr>
          <w:rFonts w:hint="eastAsia" w:ascii="宋体" w:hAnsi="宋体" w:eastAsia="宋体"/>
        </w:rPr>
        <w:t>应</w:t>
      </w:r>
      <w:bookmarkEnd w:id="57"/>
      <w:r>
        <w:rPr>
          <w:rFonts w:ascii="宋体" w:hAnsi="宋体" w:eastAsia="宋体"/>
        </w:rPr>
        <w:t>独立设置贮水箱，水箱完好；或预留水箱安装位置，满足临战安装要求。</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58" w:name="OLE_LINK66"/>
      <w:r>
        <w:rPr>
          <w:rFonts w:hint="eastAsia" w:ascii="宋体" w:hAnsi="宋体" w:eastAsia="宋体"/>
        </w:rPr>
        <w:t>评估方法：</w:t>
      </w:r>
    </w:p>
    <w:bookmarkEnd w:id="58"/>
    <w:p>
      <w:pPr>
        <w:spacing w:line="360" w:lineRule="exact"/>
        <w:ind w:firstLine="420" w:firstLineChars="200"/>
        <w:rPr>
          <w:rFonts w:ascii="宋体" w:hAnsi="宋体" w:eastAsia="宋体"/>
        </w:rPr>
      </w:pPr>
      <w:bookmarkStart w:id="59" w:name="OLE_LINK67"/>
      <w:r>
        <w:rPr>
          <w:rFonts w:hint="eastAsia" w:ascii="宋体" w:hAnsi="宋体" w:eastAsia="宋体"/>
        </w:rPr>
        <w:t>（一）</w:t>
      </w:r>
      <w:bookmarkEnd w:id="59"/>
      <w:r>
        <w:rPr>
          <w:rFonts w:ascii="宋体" w:hAnsi="宋体" w:eastAsia="宋体"/>
        </w:rPr>
        <w:t>绿色：水箱设置到位或预留位置齐全，状态正常。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黄色：现有设施维修后可用；未设置，可增设改造达标。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红色：无水箱、无预留位置，</w:t>
      </w:r>
      <w:r>
        <w:rPr>
          <w:rFonts w:hint="eastAsia" w:ascii="宋体" w:hAnsi="宋体" w:eastAsia="宋体"/>
        </w:rPr>
        <w:t>且受空间布局限制无法改造</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第十五条</w:t>
      </w:r>
      <w:r>
        <w:rPr>
          <w:rFonts w:ascii="黑体" w:hAnsi="黑体" w:eastAsia="黑体" w:cs="Times New Roman"/>
          <w:kern w:val="0"/>
          <w:szCs w:val="21"/>
        </w:rPr>
        <w:t xml:space="preserve">  </w:t>
      </w:r>
      <w:r>
        <w:rPr>
          <w:rFonts w:ascii="宋体" w:hAnsi="宋体" w:eastAsia="宋体"/>
        </w:rPr>
        <w:t>洗消设施</w:t>
      </w:r>
    </w:p>
    <w:p>
      <w:pPr>
        <w:spacing w:line="360" w:lineRule="exact"/>
        <w:ind w:firstLine="420" w:firstLineChars="200"/>
        <w:rPr>
          <w:rFonts w:ascii="宋体" w:hAnsi="宋体" w:eastAsia="宋体"/>
        </w:rPr>
      </w:pPr>
      <w:r>
        <w:rPr>
          <w:rFonts w:hint="eastAsia" w:ascii="宋体" w:hAnsi="宋体" w:eastAsia="宋体"/>
        </w:rPr>
        <w:t>洗消设施应符合以下要求：</w:t>
      </w:r>
    </w:p>
    <w:p>
      <w:pPr>
        <w:spacing w:line="360" w:lineRule="exact"/>
        <w:ind w:firstLine="420" w:firstLineChars="200"/>
        <w:rPr>
          <w:rFonts w:ascii="宋体" w:hAnsi="宋体" w:eastAsia="宋体"/>
        </w:rPr>
      </w:pPr>
      <w:r>
        <w:rPr>
          <w:rFonts w:hint="eastAsia" w:ascii="宋体" w:hAnsi="宋体" w:eastAsia="宋体"/>
        </w:rPr>
        <w:t>（一</w:t>
      </w:r>
      <w:r>
        <w:rPr>
          <w:rFonts w:ascii="宋体" w:hAnsi="宋体" w:eastAsia="宋体"/>
        </w:rPr>
        <w:t>）洗消间加热、冷热水混合设备接管完好灵活，或预留设备安装条件，</w:t>
      </w:r>
      <w:r>
        <w:rPr>
          <w:rFonts w:hint="eastAsia" w:ascii="宋体" w:hAnsi="宋体" w:eastAsia="宋体"/>
        </w:rPr>
        <w:t>考虑了</w:t>
      </w:r>
      <w:r>
        <w:rPr>
          <w:rFonts w:ascii="宋体" w:hAnsi="宋体" w:eastAsia="宋体"/>
        </w:rPr>
        <w:t>平战转换</w:t>
      </w:r>
      <w:r>
        <w:rPr>
          <w:rFonts w:hint="eastAsia" w:ascii="宋体" w:hAnsi="宋体" w:eastAsia="宋体"/>
        </w:rPr>
        <w:t>措施</w:t>
      </w:r>
      <w:r>
        <w:rPr>
          <w:rFonts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）洗消供水管道</w:t>
      </w:r>
      <w:bookmarkStart w:id="60" w:name="_Hlk238209079"/>
      <w:r>
        <w:rPr>
          <w:rFonts w:hint="eastAsia" w:ascii="宋体" w:hAnsi="宋体" w:eastAsia="宋体"/>
        </w:rPr>
        <w:t>维护良好，</w:t>
      </w:r>
      <w:bookmarkEnd w:id="60"/>
      <w:r>
        <w:rPr>
          <w:rFonts w:hint="eastAsia" w:ascii="宋体" w:hAnsi="宋体" w:eastAsia="宋体"/>
        </w:rPr>
        <w:t>连接牢固、无锈蚀、漏水，</w:t>
      </w:r>
      <w:r>
        <w:rPr>
          <w:rFonts w:ascii="宋体" w:hAnsi="宋体" w:eastAsia="宋体"/>
        </w:rPr>
        <w:t>或设计便于临战安装；</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）口部洗消冲洗栓</w:t>
      </w:r>
      <w:r>
        <w:rPr>
          <w:rFonts w:hint="eastAsia" w:ascii="宋体" w:hAnsi="宋体" w:eastAsia="宋体"/>
        </w:rPr>
        <w:t>（水嘴）</w:t>
      </w:r>
      <w:r>
        <w:rPr>
          <w:rFonts w:ascii="宋体" w:hAnsi="宋体" w:eastAsia="宋体"/>
        </w:rPr>
        <w:t>、软管完好；</w:t>
      </w:r>
    </w:p>
    <w:p>
      <w:pPr>
        <w:spacing w:line="360" w:lineRule="exact"/>
        <w:ind w:firstLine="420" w:firstLineChars="200"/>
        <w:rPr>
          <w:rFonts w:ascii="宋体" w:hAnsi="宋体" w:eastAsia="宋体"/>
        </w:rPr>
      </w:pPr>
      <w:r>
        <w:rPr>
          <w:rFonts w:hint="eastAsia" w:ascii="宋体" w:hAnsi="宋体" w:eastAsia="宋体"/>
        </w:rPr>
        <w:t>（四</w:t>
      </w:r>
      <w:r>
        <w:rPr>
          <w:rFonts w:ascii="宋体" w:hAnsi="宋体" w:eastAsia="宋体"/>
        </w:rPr>
        <w:t>）简易洗消间预留贮水设施位置，</w:t>
      </w:r>
      <w:r>
        <w:rPr>
          <w:rFonts w:hint="eastAsia" w:ascii="宋体" w:hAnsi="宋体" w:eastAsia="宋体"/>
        </w:rPr>
        <w:t>并考虑了平战转换措施</w:t>
      </w:r>
      <w:r>
        <w:rPr>
          <w:rFonts w:ascii="宋体" w:hAnsi="宋体" w:eastAsia="宋体"/>
        </w:rPr>
        <w:t>。</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61" w:name="OLE_LINK68"/>
      <w:r>
        <w:rPr>
          <w:rFonts w:hint="eastAsia" w:ascii="宋体" w:hAnsi="宋体" w:eastAsia="宋体"/>
        </w:rPr>
        <w:t>评估方法：</w:t>
      </w:r>
    </w:p>
    <w:bookmarkEnd w:id="61"/>
    <w:p>
      <w:pPr>
        <w:spacing w:line="360" w:lineRule="exact"/>
        <w:ind w:firstLine="420" w:firstLineChars="200"/>
        <w:rPr>
          <w:rFonts w:ascii="宋体" w:hAnsi="宋体" w:eastAsia="宋体"/>
        </w:rPr>
      </w:pPr>
      <w:bookmarkStart w:id="62" w:name="OLE_LINK69"/>
      <w:r>
        <w:rPr>
          <w:rFonts w:hint="eastAsia" w:ascii="宋体" w:hAnsi="宋体" w:eastAsia="宋体"/>
        </w:rPr>
        <w:t>（一）</w:t>
      </w:r>
      <w:bookmarkEnd w:id="62"/>
      <w:r>
        <w:rPr>
          <w:rFonts w:ascii="宋体" w:hAnsi="宋体" w:eastAsia="宋体"/>
        </w:rPr>
        <w:t>绿色：洗消设施全部满足要求。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黄色：现状缺陷，经维修或增设改造后可达标。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红色：不满足要求</w:t>
      </w:r>
      <w:r>
        <w:rPr>
          <w:rFonts w:hint="eastAsia" w:ascii="宋体" w:hAnsi="宋体" w:eastAsia="宋体"/>
        </w:rPr>
        <w:t>，且受建筑结构限制无改造空间，无法保障战时洗消任务开展；</w:t>
      </w:r>
      <w:r>
        <w:rPr>
          <w:rFonts w:ascii="宋体" w:hAnsi="宋体" w:eastAsia="宋体"/>
        </w:rPr>
        <w:t>改造经济成本过高，无实施改造价值。</w:t>
      </w:r>
    </w:p>
    <w:p>
      <w:pPr>
        <w:spacing w:line="360" w:lineRule="exact"/>
        <w:ind w:firstLine="420" w:firstLineChars="200"/>
        <w:rPr>
          <w:rFonts w:ascii="宋体" w:hAnsi="宋体" w:eastAsia="宋体"/>
        </w:rPr>
      </w:pPr>
    </w:p>
    <w:p>
      <w:pPr>
        <w:spacing w:line="360" w:lineRule="exact"/>
        <w:ind w:firstLine="420" w:firstLineChars="200"/>
        <w:rPr>
          <w:rFonts w:ascii="宋体" w:hAnsi="宋体" w:eastAsia="宋体"/>
        </w:rPr>
      </w:pPr>
    </w:p>
    <w:p>
      <w:pPr>
        <w:pStyle w:val="9"/>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63" w:name="_Toc239951078"/>
      <w:r>
        <w:rPr>
          <w:rFonts w:hint="eastAsia" w:ascii="黑体" w:hAnsi="黑体" w:eastAsia="黑体" w:cs="黑体"/>
          <w:color w:val="000000" w:themeColor="text1"/>
          <w:sz w:val="32"/>
          <w:szCs w:val="32"/>
          <w14:textFill>
            <w14:solidFill>
              <w14:schemeClr w14:val="tx1"/>
            </w14:solidFill>
          </w14:textFill>
        </w:rPr>
        <w:t>第五章 电气专业</w:t>
      </w:r>
      <w:bookmarkEnd w:id="63"/>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第十六条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rPr>
        <w:t>战时</w:t>
      </w:r>
      <w:r>
        <w:rPr>
          <w:rFonts w:ascii="宋体" w:hAnsi="宋体" w:eastAsia="宋体"/>
        </w:rPr>
        <w:t>配电箱、控制箱</w:t>
      </w:r>
    </w:p>
    <w:p>
      <w:pPr>
        <w:spacing w:line="360" w:lineRule="exact"/>
        <w:ind w:firstLine="420" w:firstLineChars="200"/>
        <w:rPr>
          <w:rFonts w:ascii="宋体" w:hAnsi="宋体" w:eastAsia="宋体"/>
        </w:rPr>
      </w:pPr>
      <w:r>
        <w:rPr>
          <w:rFonts w:ascii="宋体" w:hAnsi="宋体" w:eastAsia="宋体"/>
        </w:rPr>
        <w:t>各类</w:t>
      </w:r>
      <w:r>
        <w:rPr>
          <w:rFonts w:hint="eastAsia" w:ascii="宋体" w:hAnsi="宋体" w:eastAsia="宋体"/>
        </w:rPr>
        <w:t>战时使用</w:t>
      </w:r>
      <w:r>
        <w:rPr>
          <w:rFonts w:ascii="宋体" w:hAnsi="宋体" w:eastAsia="宋体"/>
        </w:rPr>
        <w:t>配电箱、控制箱箱体及内部元件完整，无损坏缺失，可正常使用。</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64" w:name="OLE_LINK70"/>
      <w:r>
        <w:rPr>
          <w:rFonts w:hint="eastAsia" w:ascii="宋体" w:hAnsi="宋体" w:eastAsia="宋体"/>
        </w:rPr>
        <w:t>评估方法：</w:t>
      </w:r>
    </w:p>
    <w:bookmarkEnd w:id="64"/>
    <w:p>
      <w:pPr>
        <w:spacing w:line="360" w:lineRule="exact"/>
        <w:ind w:firstLine="420" w:firstLineChars="200"/>
        <w:rPr>
          <w:rFonts w:ascii="宋体" w:hAnsi="宋体" w:eastAsia="宋体"/>
        </w:rPr>
      </w:pPr>
      <w:bookmarkStart w:id="65" w:name="OLE_LINK71"/>
      <w:r>
        <w:rPr>
          <w:rFonts w:hint="eastAsia" w:ascii="宋体" w:hAnsi="宋体" w:eastAsia="宋体"/>
        </w:rPr>
        <w:t>（一）</w:t>
      </w:r>
      <w:bookmarkEnd w:id="65"/>
      <w:r>
        <w:rPr>
          <w:rFonts w:ascii="宋体" w:hAnsi="宋体" w:eastAsia="宋体"/>
        </w:rPr>
        <w:t>绿色：满足要求。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w:t>
      </w:r>
      <w:r>
        <w:rPr>
          <w:rFonts w:hint="eastAsia" w:ascii="宋体" w:hAnsi="宋体" w:eastAsia="宋体"/>
        </w:rPr>
        <w:t>存在元件缺失或轻微故障，或箱体有破损</w:t>
      </w:r>
      <w:r>
        <w:rPr>
          <w:rFonts w:ascii="宋体" w:hAnsi="宋体" w:eastAsia="宋体"/>
        </w:rPr>
        <w:t>，但具备维修改造条件。</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设备严重缺失或损坏无法修复，且现场无安装空间、线路接口等改造增设条件，无法达标；</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第十七条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战时蓄电池组</w:t>
      </w:r>
    </w:p>
    <w:p>
      <w:pPr>
        <w:spacing w:line="360" w:lineRule="exact"/>
        <w:ind w:firstLine="420" w:firstLineChars="200"/>
        <w:rPr>
          <w:rFonts w:ascii="宋体" w:hAnsi="宋体" w:eastAsia="宋体"/>
        </w:rPr>
      </w:pPr>
      <w:r>
        <w:rPr>
          <w:rFonts w:ascii="宋体" w:hAnsi="宋体" w:eastAsia="宋体"/>
        </w:rPr>
        <w:t>战时一级负荷</w:t>
      </w:r>
      <w:r>
        <w:rPr>
          <w:rFonts w:hint="eastAsia" w:ascii="宋体" w:hAnsi="宋体" w:eastAsia="宋体"/>
        </w:rPr>
        <w:t>应设有</w:t>
      </w:r>
      <w:r>
        <w:rPr>
          <w:rFonts w:ascii="宋体" w:hAnsi="宋体" w:eastAsia="宋体"/>
        </w:rPr>
        <w:t>蓄电池组，</w:t>
      </w:r>
      <w:r>
        <w:rPr>
          <w:rFonts w:hint="eastAsia" w:ascii="宋体" w:hAnsi="宋体" w:eastAsia="宋体"/>
        </w:rPr>
        <w:t>蓄电池组使用正常，连续</w:t>
      </w:r>
      <w:r>
        <w:rPr>
          <w:rFonts w:ascii="宋体" w:hAnsi="宋体" w:eastAsia="宋体"/>
        </w:rPr>
        <w:t>供电时间不小于</w:t>
      </w:r>
      <w:r>
        <w:rPr>
          <w:rFonts w:hint="eastAsia" w:ascii="宋体" w:hAnsi="宋体" w:eastAsia="宋体"/>
        </w:rPr>
        <w:t>战时</w:t>
      </w:r>
      <w:r>
        <w:rPr>
          <w:rFonts w:ascii="宋体" w:hAnsi="宋体" w:eastAsia="宋体"/>
        </w:rPr>
        <w:t>隔绝防护时间。</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bookmarkStart w:id="66" w:name="OLE_LINK72"/>
      <w:r>
        <w:rPr>
          <w:rFonts w:hint="eastAsia" w:ascii="宋体" w:hAnsi="宋体" w:eastAsia="宋体"/>
        </w:rPr>
        <w:t>（一）</w:t>
      </w:r>
      <w:bookmarkEnd w:id="66"/>
      <w:r>
        <w:rPr>
          <w:rFonts w:ascii="宋体" w:hAnsi="宋体" w:eastAsia="宋体"/>
        </w:rPr>
        <w:t>绿色：蓄电池配置到位，供电时长达标。</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黄色：已有蓄电池供电时长不足，可扩容；未配置，但具备增设条件。</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未配置蓄电池组，且无安装位置、承重结构及线路接口等增设条件，无法保障备用供电；</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第十八条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三种通风方式信号箱</w:t>
      </w:r>
    </w:p>
    <w:p>
      <w:pPr>
        <w:spacing w:line="360" w:lineRule="exact"/>
        <w:ind w:firstLine="420" w:firstLineChars="200"/>
        <w:rPr>
          <w:rFonts w:ascii="宋体" w:hAnsi="宋体" w:eastAsia="宋体"/>
        </w:rPr>
      </w:pPr>
      <w:r>
        <w:rPr>
          <w:rFonts w:hint="eastAsia" w:ascii="宋体" w:hAnsi="宋体" w:eastAsia="宋体"/>
        </w:rPr>
        <w:t>三种</w:t>
      </w:r>
      <w:r>
        <w:rPr>
          <w:rFonts w:ascii="宋体" w:hAnsi="宋体" w:eastAsia="宋体"/>
        </w:rPr>
        <w:t>通风方式信号显示箱完整无损坏，工作正常，信号显示正确。</w:t>
      </w:r>
    </w:p>
    <w:p>
      <w:pPr>
        <w:spacing w:line="360" w:lineRule="exact"/>
        <w:ind w:firstLine="420" w:firstLineChars="200"/>
        <w:rPr>
          <w:rFonts w:ascii="宋体" w:hAnsi="宋体" w:eastAsia="宋体"/>
        </w:rPr>
      </w:pPr>
      <w:r>
        <w:rPr>
          <w:rFonts w:ascii="宋体" w:hAnsi="宋体" w:eastAsia="宋体"/>
        </w:rPr>
        <w:t>检查方式：现场开机试验。</w:t>
      </w:r>
    </w:p>
    <w:p>
      <w:pPr>
        <w:spacing w:line="360" w:lineRule="exact"/>
        <w:ind w:firstLine="420" w:firstLineChars="200"/>
        <w:rPr>
          <w:rFonts w:ascii="宋体" w:hAnsi="宋体" w:eastAsia="宋体"/>
        </w:rPr>
      </w:pPr>
      <w:bookmarkStart w:id="67" w:name="OLE_LINK75"/>
      <w:r>
        <w:rPr>
          <w:rFonts w:hint="eastAsia" w:ascii="宋体" w:hAnsi="宋体" w:eastAsia="宋体"/>
        </w:rPr>
        <w:t>评估方法：</w:t>
      </w:r>
    </w:p>
    <w:bookmarkEnd w:id="67"/>
    <w:p>
      <w:pPr>
        <w:spacing w:line="360" w:lineRule="exact"/>
        <w:ind w:firstLine="420" w:firstLineChars="200"/>
        <w:rPr>
          <w:rFonts w:ascii="宋体" w:hAnsi="宋体" w:eastAsia="宋体"/>
        </w:rPr>
      </w:pPr>
      <w:bookmarkStart w:id="68" w:name="OLE_LINK76"/>
      <w:r>
        <w:rPr>
          <w:rFonts w:hint="eastAsia" w:ascii="宋体" w:hAnsi="宋体" w:eastAsia="宋体"/>
        </w:rPr>
        <w:t>（一）</w:t>
      </w:r>
      <w:bookmarkEnd w:id="68"/>
      <w:r>
        <w:rPr>
          <w:rFonts w:hint="eastAsia" w:ascii="宋体" w:hAnsi="宋体" w:eastAsia="宋体"/>
        </w:rPr>
        <w:t>绿色：箱体完整无破损，控制按钮、声光信号显示准确，与通风设备联动可靠，运行状态正常。</w:t>
      </w:r>
    </w:p>
    <w:p>
      <w:pPr>
        <w:spacing w:line="360" w:lineRule="exact"/>
        <w:ind w:firstLine="420" w:firstLineChars="200"/>
        <w:rPr>
          <w:rFonts w:ascii="宋体" w:hAnsi="宋体" w:eastAsia="宋体"/>
        </w:rPr>
      </w:pPr>
      <w:r>
        <w:rPr>
          <w:rFonts w:hint="eastAsia" w:ascii="宋体" w:hAnsi="宋体" w:eastAsia="宋体"/>
        </w:rPr>
        <w:t>（二）黄色：信号显示异常、按钮失灵或箱体破损，可通过更换部件、维修线路或重新布线实现达标。</w:t>
      </w:r>
    </w:p>
    <w:p>
      <w:pPr>
        <w:spacing w:line="360" w:lineRule="exact"/>
        <w:rPr>
          <w:rFonts w:ascii="宋体" w:hAnsi="宋体" w:eastAsia="宋体"/>
        </w:rPr>
      </w:pPr>
      <w:r>
        <w:rPr>
          <w:rFonts w:hint="eastAsia" w:ascii="黑体" w:hAnsi="黑体" w:eastAsia="黑体" w:cs="Times New Roman"/>
          <w:kern w:val="0"/>
          <w:szCs w:val="21"/>
        </w:rPr>
        <w:t>第十九条</w:t>
      </w:r>
      <w:r>
        <w:rPr>
          <w:rFonts w:ascii="黑体" w:hAnsi="黑体" w:eastAsia="黑体" w:cs="Times New Roman"/>
          <w:kern w:val="0"/>
          <w:szCs w:val="21"/>
        </w:rPr>
        <w:t xml:space="preserve">  </w:t>
      </w:r>
      <w:r>
        <w:rPr>
          <w:rFonts w:hint="eastAsia" w:ascii="宋体" w:hAnsi="宋体" w:eastAsia="宋体"/>
        </w:rPr>
        <w:t>战时照明</w:t>
      </w:r>
    </w:p>
    <w:p>
      <w:pPr>
        <w:spacing w:line="360" w:lineRule="exact"/>
        <w:ind w:firstLine="420" w:firstLineChars="200"/>
        <w:rPr>
          <w:rFonts w:ascii="宋体" w:hAnsi="宋体" w:eastAsia="宋体"/>
        </w:rPr>
      </w:pPr>
      <w:r>
        <w:rPr>
          <w:rFonts w:hint="eastAsia" w:ascii="宋体" w:hAnsi="宋体" w:eastAsia="宋体"/>
        </w:rPr>
        <w:t>人防工程战时照明、应急照明灯具型号、数量、安装位置符合设计要求；灯具完好，配电线路、控制装置功能正常，可可靠地点亮。</w:t>
      </w:r>
    </w:p>
    <w:p>
      <w:pPr>
        <w:spacing w:line="360" w:lineRule="exact"/>
        <w:ind w:firstLine="420" w:firstLineChars="200"/>
        <w:rPr>
          <w:rFonts w:ascii="宋体" w:hAnsi="宋体" w:eastAsia="宋体"/>
        </w:rPr>
      </w:pPr>
      <w:r>
        <w:rPr>
          <w:rFonts w:hint="eastAsia" w:ascii="宋体" w:hAnsi="宋体" w:eastAsia="宋体"/>
        </w:rPr>
        <w:t>检查方式：现场核查、通电试验。</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（一）绿色：满足要求。</w:t>
      </w:r>
    </w:p>
    <w:p>
      <w:pPr>
        <w:spacing w:line="360" w:lineRule="exact"/>
        <w:ind w:firstLine="420" w:firstLineChars="200"/>
        <w:rPr>
          <w:rFonts w:ascii="宋体" w:hAnsi="宋体" w:eastAsia="宋体"/>
        </w:rPr>
      </w:pPr>
      <w:r>
        <w:rPr>
          <w:rFonts w:hint="eastAsia" w:ascii="宋体" w:hAnsi="宋体" w:eastAsia="宋体"/>
        </w:rPr>
        <w:t>（二）黄色：灯具缺失、损坏；配置与设计不符；线路破损，通电无法点亮，应急照明功能失效，但具备更换灯具、修复线路或更换控制装置的条件。</w:t>
      </w:r>
    </w:p>
    <w:p>
      <w:pPr>
        <w:spacing w:line="360" w:lineRule="exact"/>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widowControl/>
        <w:jc w:val="left"/>
        <w:rPr>
          <w:rFonts w:ascii="宋体" w:hAnsi="宋体" w:eastAsia="宋体"/>
        </w:rPr>
      </w:pPr>
    </w:p>
    <w:p>
      <w:pPr>
        <w:jc w:val="left"/>
        <w:outlineLvl w:val="0"/>
        <w:rPr>
          <w:rFonts w:ascii="黑体" w:hAnsi="黑体" w:eastAsia="黑体" w:cs="黑体"/>
          <w:sz w:val="28"/>
          <w:szCs w:val="28"/>
        </w:rPr>
      </w:pPr>
      <w:bookmarkStart w:id="69" w:name="OLE_LINK87"/>
      <w:bookmarkStart w:id="70" w:name="_Toc239951079"/>
      <w:r>
        <w:rPr>
          <w:rFonts w:hint="eastAsia" w:ascii="黑体" w:hAnsi="黑体" w:eastAsia="黑体" w:cs="黑体"/>
          <w:sz w:val="28"/>
          <w:szCs w:val="28"/>
        </w:rPr>
        <w:t>附</w:t>
      </w:r>
      <w:bookmarkEnd w:id="69"/>
      <w:r>
        <w:rPr>
          <w:rFonts w:hint="eastAsia" w:ascii="黑体" w:hAnsi="黑体" w:eastAsia="黑体" w:cs="黑体"/>
          <w:sz w:val="28"/>
          <w:szCs w:val="28"/>
        </w:rPr>
        <w:t>件2</w:t>
      </w:r>
      <w:bookmarkEnd w:id="70"/>
    </w:p>
    <w:tbl>
      <w:tblPr>
        <w:tblStyle w:val="6"/>
        <w:tblW w:w="8647" w:type="dxa"/>
        <w:tblInd w:w="0" w:type="dxa"/>
        <w:tblLayout w:type="autofit"/>
        <w:tblCellMar>
          <w:top w:w="0" w:type="dxa"/>
          <w:left w:w="108" w:type="dxa"/>
          <w:bottom w:w="0" w:type="dxa"/>
          <w:right w:w="108" w:type="dxa"/>
        </w:tblCellMar>
      </w:tblPr>
      <w:tblGrid>
        <w:gridCol w:w="1843"/>
        <w:gridCol w:w="2199"/>
        <w:gridCol w:w="2200"/>
        <w:gridCol w:w="2405"/>
      </w:tblGrid>
      <w:tr>
        <w:tblPrEx>
          <w:tblCellMar>
            <w:top w:w="0" w:type="dxa"/>
            <w:left w:w="108" w:type="dxa"/>
            <w:bottom w:w="0" w:type="dxa"/>
            <w:right w:w="108" w:type="dxa"/>
          </w:tblCellMar>
        </w:tblPrEx>
        <w:trPr>
          <w:trHeight w:val="720" w:hRule="atLeast"/>
        </w:trPr>
        <w:tc>
          <w:tcPr>
            <w:tcW w:w="8647" w:type="dxa"/>
            <w:gridSpan w:val="4"/>
            <w:tcBorders>
              <w:top w:val="nil"/>
              <w:left w:val="nil"/>
              <w:bottom w:val="nil"/>
              <w:right w:val="nil"/>
            </w:tcBorders>
            <w:vAlign w:val="center"/>
          </w:tcPr>
          <w:p>
            <w:pPr>
              <w:widowControl/>
              <w:spacing w:before="156" w:beforeLines="50" w:after="156" w:afterLines="50" w:line="480" w:lineRule="auto"/>
              <w:jc w:val="center"/>
              <w:rPr>
                <w:rFonts w:ascii="宋体" w:hAnsi="宋体" w:eastAsia="宋体" w:cs="宋体"/>
                <w:b/>
                <w:bCs/>
                <w:kern w:val="0"/>
                <w:sz w:val="30"/>
                <w:szCs w:val="30"/>
              </w:rPr>
            </w:pPr>
            <w:r>
              <w:rPr>
                <w:rFonts w:hint="eastAsia" w:ascii="宋体" w:hAnsi="宋体" w:eastAsia="宋体" w:cs="宋体"/>
                <w:b/>
                <w:bCs/>
                <w:kern w:val="0"/>
                <w:sz w:val="30"/>
                <w:szCs w:val="30"/>
              </w:rPr>
              <w:t>工程基础信息表</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工程名称</w:t>
            </w:r>
          </w:p>
        </w:tc>
        <w:tc>
          <w:tcPr>
            <w:tcW w:w="2199"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工程地址</w:t>
            </w:r>
          </w:p>
        </w:tc>
        <w:tc>
          <w:tcPr>
            <w:tcW w:w="2405"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建设年代</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类型</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□防空专业队工程</w:t>
            </w:r>
            <w:r>
              <w:rPr>
                <w:rFonts w:ascii="宋体" w:hAnsi="宋体" w:eastAsia="宋体" w:cs="宋体"/>
                <w:kern w:val="0"/>
                <w:szCs w:val="21"/>
              </w:rPr>
              <w:t xml:space="preserve">    □</w:t>
            </w:r>
            <w:r>
              <w:rPr>
                <w:rFonts w:hint="eastAsia" w:ascii="宋体" w:hAnsi="宋体" w:eastAsia="宋体" w:cs="宋体"/>
                <w:kern w:val="0"/>
                <w:szCs w:val="21"/>
              </w:rPr>
              <w:t>人员掩蔽工程</w:t>
            </w:r>
          </w:p>
          <w:p>
            <w:pPr>
              <w:widowControl/>
              <w:jc w:val="left"/>
              <w:rPr>
                <w:rFonts w:ascii="宋体" w:hAnsi="宋体" w:eastAsia="宋体" w:cs="宋体"/>
                <w:kern w:val="0"/>
                <w:szCs w:val="21"/>
              </w:rPr>
            </w:pPr>
            <w:r>
              <w:rPr>
                <w:rFonts w:hint="eastAsia" w:ascii="宋体" w:hAnsi="宋体" w:eastAsia="宋体" w:cs="宋体"/>
                <w:kern w:val="0"/>
                <w:szCs w:val="21"/>
              </w:rPr>
              <w:t>□医疗救护工程</w:t>
            </w:r>
          </w:p>
          <w:p>
            <w:pPr>
              <w:widowControl/>
              <w:jc w:val="left"/>
              <w:rPr>
                <w:rFonts w:ascii="宋体" w:hAnsi="宋体" w:eastAsia="宋体" w:cs="宋体"/>
                <w:kern w:val="0"/>
                <w:szCs w:val="21"/>
              </w:rPr>
            </w:pPr>
            <w:r>
              <w:rPr>
                <w:rFonts w:hint="eastAsia" w:ascii="宋体" w:hAnsi="宋体" w:eastAsia="宋体" w:cs="宋体"/>
                <w:kern w:val="0"/>
                <w:szCs w:val="21"/>
              </w:rPr>
              <w:t>□配套工程</w:t>
            </w:r>
          </w:p>
        </w:tc>
      </w:tr>
      <w:tr>
        <w:tblPrEx>
          <w:tblCellMar>
            <w:top w:w="0" w:type="dxa"/>
            <w:left w:w="108" w:type="dxa"/>
            <w:bottom w:w="0" w:type="dxa"/>
            <w:right w:w="108" w:type="dxa"/>
          </w:tblCellMar>
        </w:tblPrEx>
        <w:trPr>
          <w:trHeight w:val="562"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防护单元编号</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防护单元面积（㎡）</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评估单位</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评估人员</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评估日期</w:t>
            </w:r>
          </w:p>
        </w:tc>
        <w:tc>
          <w:tcPr>
            <w:tcW w:w="6804" w:type="dxa"/>
            <w:gridSpan w:val="3"/>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p>
        </w:tc>
      </w:tr>
      <w:tr>
        <w:tblPrEx>
          <w:tblCellMar>
            <w:top w:w="0" w:type="dxa"/>
            <w:left w:w="108" w:type="dxa"/>
            <w:bottom w:w="0" w:type="dxa"/>
            <w:right w:w="108" w:type="dxa"/>
          </w:tblCellMar>
        </w:tblPrEx>
        <w:trPr>
          <w:trHeight w:val="644"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资料核查情况</w:t>
            </w:r>
          </w:p>
        </w:tc>
        <w:tc>
          <w:tcPr>
            <w:tcW w:w="6804" w:type="dxa"/>
            <w:gridSpan w:val="3"/>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742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现场概况</w:t>
            </w:r>
          </w:p>
        </w:tc>
        <w:tc>
          <w:tcPr>
            <w:tcW w:w="6804" w:type="dxa"/>
            <w:gridSpan w:val="3"/>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bl>
    <w:p>
      <w:pPr>
        <w:widowControl/>
        <w:jc w:val="left"/>
      </w:pPr>
      <w:bookmarkStart w:id="71" w:name="OLE_LINK89"/>
    </w:p>
    <w:tbl>
      <w:tblPr>
        <w:tblStyle w:val="6"/>
        <w:tblpPr w:leftFromText="180" w:rightFromText="180" w:vertAnchor="text" w:horzAnchor="page" w:tblpX="1203" w:tblpY="-1439"/>
        <w:tblW w:w="10429" w:type="dxa"/>
        <w:tblInd w:w="0" w:type="dxa"/>
        <w:tblLayout w:type="autofit"/>
        <w:tblCellMar>
          <w:top w:w="0" w:type="dxa"/>
          <w:left w:w="108" w:type="dxa"/>
          <w:bottom w:w="0" w:type="dxa"/>
          <w:right w:w="108" w:type="dxa"/>
        </w:tblCellMar>
      </w:tblPr>
      <w:tblGrid>
        <w:gridCol w:w="763"/>
        <w:gridCol w:w="702"/>
        <w:gridCol w:w="3213"/>
        <w:gridCol w:w="1134"/>
        <w:gridCol w:w="1055"/>
        <w:gridCol w:w="1010"/>
        <w:gridCol w:w="1087"/>
        <w:gridCol w:w="686"/>
        <w:gridCol w:w="779"/>
      </w:tblGrid>
      <w:tr>
        <w:tblPrEx>
          <w:tblCellMar>
            <w:top w:w="0" w:type="dxa"/>
            <w:left w:w="108" w:type="dxa"/>
            <w:bottom w:w="0" w:type="dxa"/>
            <w:right w:w="108" w:type="dxa"/>
          </w:tblCellMar>
        </w:tblPrEx>
        <w:trPr>
          <w:trHeight w:val="720" w:hRule="atLeast"/>
        </w:trPr>
        <w:tc>
          <w:tcPr>
            <w:tcW w:w="10429" w:type="dxa"/>
            <w:gridSpan w:val="9"/>
            <w:tcBorders>
              <w:top w:val="nil"/>
              <w:left w:val="nil"/>
              <w:bottom w:val="nil"/>
              <w:right w:val="nil"/>
            </w:tcBorders>
            <w:vAlign w:val="center"/>
          </w:tcPr>
          <w:p>
            <w:pPr>
              <w:ind w:firstLine="1024" w:firstLineChars="488"/>
            </w:pPr>
          </w:p>
          <w:p>
            <w:pPr>
              <w:ind w:firstLine="1024" w:firstLineChars="488"/>
            </w:pPr>
          </w:p>
          <w:p>
            <w:pPr>
              <w:ind w:firstLine="1024" w:firstLineChars="488"/>
            </w:pPr>
          </w:p>
          <w:p/>
          <w:p/>
          <w:p>
            <w:pPr>
              <w:jc w:val="left"/>
              <w:outlineLvl w:val="0"/>
              <w:rPr>
                <w:rFonts w:ascii="黑体" w:hAnsi="黑体" w:eastAsia="黑体" w:cs="黑体"/>
                <w:sz w:val="28"/>
                <w:szCs w:val="28"/>
              </w:rPr>
            </w:pPr>
            <w:bookmarkStart w:id="72" w:name="_Toc239951080"/>
            <w:bookmarkStart w:id="73" w:name="OLE_LINK88"/>
            <w:r>
              <w:rPr>
                <w:rFonts w:hint="eastAsia" w:ascii="黑体" w:hAnsi="黑体" w:eastAsia="黑体" w:cs="黑体"/>
                <w:sz w:val="28"/>
                <w:szCs w:val="28"/>
              </w:rPr>
              <w:t>附件3</w:t>
            </w:r>
            <w:bookmarkEnd w:id="72"/>
          </w:p>
          <w:bookmarkEnd w:id="73"/>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分项评估检查表</w:t>
            </w:r>
          </w:p>
        </w:tc>
      </w:tr>
      <w:tr>
        <w:tblPrEx>
          <w:tblCellMar>
            <w:top w:w="0" w:type="dxa"/>
            <w:left w:w="108" w:type="dxa"/>
            <w:bottom w:w="0" w:type="dxa"/>
            <w:right w:w="108" w:type="dxa"/>
          </w:tblCellMar>
        </w:tblPrEx>
        <w:trPr>
          <w:trHeight w:val="520" w:hRule="atLeast"/>
        </w:trPr>
        <w:tc>
          <w:tcPr>
            <w:tcW w:w="10429" w:type="dxa"/>
            <w:gridSpan w:val="9"/>
            <w:tcBorders>
              <w:top w:val="nil"/>
              <w:left w:val="nil"/>
              <w:bottom w:val="nil"/>
              <w:right w:val="nil"/>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防护单元编号：</w:t>
            </w:r>
            <w:r>
              <w:rPr>
                <w:rFonts w:ascii="宋体" w:hAnsi="宋体" w:eastAsia="宋体" w:cs="宋体"/>
                <w:b/>
                <w:bCs/>
                <w:kern w:val="0"/>
                <w:szCs w:val="21"/>
              </w:rPr>
              <w:t xml:space="preserve">________________      </w:t>
            </w:r>
            <w:r>
              <w:rPr>
                <w:rFonts w:hint="eastAsia" w:ascii="宋体" w:hAnsi="宋体" w:eastAsia="宋体" w:cs="宋体"/>
                <w:b/>
                <w:bCs/>
                <w:kern w:val="0"/>
                <w:szCs w:val="21"/>
              </w:rPr>
              <w:t>评估日期：</w:t>
            </w:r>
            <w:r>
              <w:rPr>
                <w:rFonts w:ascii="宋体" w:hAnsi="宋体" w:eastAsia="宋体" w:cs="宋体"/>
                <w:b/>
                <w:bCs/>
                <w:kern w:val="0"/>
                <w:szCs w:val="21"/>
              </w:rPr>
              <w:t>____</w:t>
            </w:r>
            <w:r>
              <w:rPr>
                <w:rFonts w:hint="eastAsia" w:ascii="宋体" w:hAnsi="宋体" w:eastAsia="宋体" w:cs="宋体"/>
                <w:b/>
                <w:bCs/>
                <w:kern w:val="0"/>
                <w:szCs w:val="21"/>
              </w:rPr>
              <w:t>年____月____日</w:t>
            </w:r>
            <w:r>
              <w:rPr>
                <w:rFonts w:ascii="宋体" w:hAnsi="宋体" w:eastAsia="宋体" w:cs="宋体"/>
                <w:b/>
                <w:bCs/>
                <w:kern w:val="0"/>
                <w:szCs w:val="21"/>
              </w:rPr>
              <w:t xml:space="preserve">      </w:t>
            </w:r>
            <w:r>
              <w:rPr>
                <w:rFonts w:hint="eastAsia" w:ascii="宋体" w:hAnsi="宋体" w:eastAsia="宋体" w:cs="宋体"/>
                <w:b/>
                <w:bCs/>
                <w:kern w:val="0"/>
                <w:szCs w:val="21"/>
              </w:rPr>
              <w:t>评估人：</w:t>
            </w:r>
            <w:r>
              <w:rPr>
                <w:rFonts w:ascii="宋体" w:hAnsi="宋体" w:eastAsia="宋体" w:cs="宋体"/>
                <w:b/>
                <w:bCs/>
                <w:kern w:val="0"/>
                <w:szCs w:val="21"/>
              </w:rPr>
              <w:t>____________</w:t>
            </w:r>
          </w:p>
        </w:tc>
      </w:tr>
      <w:tr>
        <w:tblPrEx>
          <w:tblCellMar>
            <w:top w:w="0" w:type="dxa"/>
            <w:left w:w="108" w:type="dxa"/>
            <w:bottom w:w="0" w:type="dxa"/>
            <w:right w:w="108" w:type="dxa"/>
          </w:tblCellMar>
        </w:tblPrEx>
        <w:trPr>
          <w:gridAfter w:val="1"/>
          <w:wAfter w:w="779" w:type="dxa"/>
          <w:trHeight w:val="8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专业</w:t>
            </w:r>
          </w:p>
        </w:tc>
        <w:tc>
          <w:tcPr>
            <w:tcW w:w="702"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序号</w:t>
            </w:r>
          </w:p>
        </w:tc>
        <w:tc>
          <w:tcPr>
            <w:tcW w:w="3213"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检查项目内容</w:t>
            </w:r>
          </w:p>
        </w:tc>
        <w:tc>
          <w:tcPr>
            <w:tcW w:w="1134"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检查方式</w:t>
            </w:r>
          </w:p>
        </w:tc>
        <w:tc>
          <w:tcPr>
            <w:tcW w:w="1055"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分项评定等级</w:t>
            </w:r>
          </w:p>
        </w:tc>
        <w:tc>
          <w:tcPr>
            <w:tcW w:w="1010"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缺陷问题描述</w:t>
            </w:r>
          </w:p>
        </w:tc>
        <w:tc>
          <w:tcPr>
            <w:tcW w:w="1087"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涉及设备</w:t>
            </w:r>
            <w:r>
              <w:rPr>
                <w:rFonts w:ascii="宋体" w:hAnsi="宋体" w:eastAsia="宋体" w:cs="宋体"/>
                <w:b/>
                <w:bCs/>
                <w:color w:val="000000" w:themeColor="text1"/>
                <w:kern w:val="0"/>
                <w:szCs w:val="21"/>
                <w14:textFill>
                  <w14:solidFill>
                    <w14:schemeClr w14:val="tx1"/>
                  </w14:solidFill>
                </w14:textFill>
              </w:rPr>
              <w:t>/部位位置</w:t>
            </w:r>
          </w:p>
        </w:tc>
        <w:tc>
          <w:tcPr>
            <w:tcW w:w="686"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备注</w:t>
            </w:r>
          </w:p>
        </w:tc>
      </w:tr>
      <w:tr>
        <w:tblPrEx>
          <w:tblCellMar>
            <w:top w:w="0" w:type="dxa"/>
            <w:left w:w="108" w:type="dxa"/>
            <w:bottom w:w="0" w:type="dxa"/>
            <w:right w:w="108" w:type="dxa"/>
          </w:tblCellMar>
        </w:tblPrEx>
        <w:trPr>
          <w:gridAfter w:val="1"/>
          <w:wAfter w:w="779" w:type="dxa"/>
          <w:trHeight w:val="123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建筑</w:t>
            </w: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1</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szCs w:val="21"/>
              </w:rPr>
            </w:pPr>
            <w:r>
              <w:rPr>
                <w:rFonts w:hint="eastAsia" w:ascii="宋体" w:hAnsi="宋体" w:eastAsia="宋体"/>
                <w:szCs w:val="21"/>
              </w:rPr>
              <w:t>人员出入口：防护单元人员出入口不少于2个</w:t>
            </w:r>
            <w:r>
              <w:rPr>
                <w:rFonts w:ascii="宋体" w:hAnsi="宋体" w:eastAsia="宋体"/>
                <w:szCs w:val="21"/>
              </w:rPr>
              <w:t>，主要出入口为室外出入口</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123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2</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szCs w:val="21"/>
              </w:rPr>
            </w:pPr>
            <w:r>
              <w:rPr>
                <w:rFonts w:ascii="宋体" w:hAnsi="宋体" w:eastAsia="宋体"/>
                <w:szCs w:val="21"/>
              </w:rPr>
              <w:t>上部建筑生活污水管、雨水管、燃气管</w:t>
            </w:r>
            <w:r>
              <w:rPr>
                <w:rFonts w:hint="eastAsia" w:ascii="宋体" w:hAnsi="宋体" w:eastAsia="宋体"/>
                <w:szCs w:val="21"/>
              </w:rPr>
              <w:t>不得进入</w:t>
            </w:r>
            <w:r>
              <w:rPr>
                <w:rFonts w:ascii="宋体" w:hAnsi="宋体" w:eastAsia="宋体"/>
                <w:szCs w:val="21"/>
              </w:rPr>
              <w:t>人防工程；凡穿越人防围护结构进入人防工程的给水、消防、排水、供热、冷媒管道等输送流体管道，穿墙</w:t>
            </w:r>
            <w:r>
              <w:rPr>
                <w:rFonts w:hint="eastAsia" w:ascii="宋体" w:hAnsi="宋体" w:eastAsia="宋体"/>
                <w:szCs w:val="21"/>
              </w:rPr>
              <w:t>部位</w:t>
            </w:r>
            <w:r>
              <w:rPr>
                <w:rFonts w:ascii="宋体" w:hAnsi="宋体" w:eastAsia="宋体"/>
                <w:szCs w:val="21"/>
              </w:rPr>
              <w:t>应设置防护密闭套管</w:t>
            </w:r>
            <w:r>
              <w:rPr>
                <w:rFonts w:hint="eastAsia" w:ascii="宋体" w:hAnsi="宋体" w:eastAsia="宋体"/>
                <w:szCs w:val="21"/>
              </w:rPr>
              <w:t>，</w:t>
            </w:r>
            <w:r>
              <w:rPr>
                <w:rFonts w:ascii="宋体" w:hAnsi="宋体" w:eastAsia="宋体"/>
                <w:szCs w:val="21"/>
              </w:rPr>
              <w:t>并在人防围护结构内侧</w:t>
            </w:r>
            <w:r>
              <w:rPr>
                <w:rFonts w:hint="eastAsia" w:ascii="宋体" w:hAnsi="宋体" w:eastAsia="宋体"/>
                <w:szCs w:val="21"/>
              </w:rPr>
              <w:t>设置</w:t>
            </w:r>
            <w:r>
              <w:rPr>
                <w:rFonts w:ascii="宋体" w:hAnsi="宋体" w:eastAsia="宋体"/>
                <w:szCs w:val="21"/>
              </w:rPr>
              <w:t>防护阀门</w:t>
            </w:r>
            <w:r>
              <w:rPr>
                <w:rFonts w:hint="eastAsia" w:ascii="宋体" w:hAnsi="宋体" w:eastAsia="宋体"/>
                <w:szCs w:val="21"/>
              </w:rPr>
              <w:t>，</w:t>
            </w:r>
            <w:r>
              <w:rPr>
                <w:rFonts w:ascii="宋体" w:hAnsi="宋体" w:eastAsia="宋体"/>
                <w:szCs w:val="21"/>
              </w:rPr>
              <w:t>套管与管道</w:t>
            </w:r>
            <w:r>
              <w:rPr>
                <w:rFonts w:hint="eastAsia" w:ascii="宋体" w:hAnsi="宋体" w:eastAsia="宋体"/>
                <w:szCs w:val="21"/>
              </w:rPr>
              <w:t>之间</w:t>
            </w:r>
            <w:r>
              <w:rPr>
                <w:rFonts w:ascii="宋体" w:hAnsi="宋体" w:eastAsia="宋体"/>
                <w:szCs w:val="21"/>
              </w:rPr>
              <w:t>间隙应做防护密闭封堵；电缆、通信等线缆管线穿越围护结构应设置密闭套管并</w:t>
            </w:r>
            <w:r>
              <w:rPr>
                <w:rFonts w:hint="eastAsia" w:ascii="宋体" w:hAnsi="宋体" w:eastAsia="宋体"/>
                <w:szCs w:val="21"/>
              </w:rPr>
              <w:t>做好</w:t>
            </w:r>
            <w:r>
              <w:rPr>
                <w:rFonts w:ascii="宋体" w:hAnsi="宋体" w:eastAsia="宋体"/>
                <w:szCs w:val="21"/>
              </w:rPr>
              <w:t xml:space="preserve">防护密闭封堵。 </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kern w:val="0"/>
                <w:szCs w:val="21"/>
              </w:rPr>
            </w:pPr>
            <w:r>
              <w:rPr>
                <w:rFonts w:hint="eastAsia" w:ascii="宋体" w:hAnsi="宋体" w:eastAsia="宋体" w:cs="宋体"/>
                <w:kern w:val="0"/>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123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3</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kern w:val="0"/>
                <w:szCs w:val="21"/>
              </w:rPr>
            </w:pPr>
            <w:r>
              <w:rPr>
                <w:rFonts w:hint="eastAsia" w:ascii="宋体" w:hAnsi="宋体" w:eastAsia="宋体"/>
                <w:szCs w:val="21"/>
              </w:rPr>
              <w:t>每个防护单元中防护密闭门和密闭门门框、门扇、五金配件等应保持结构完好、密封胶条完整有效、门扇启闭功能灵活可靠</w:t>
            </w:r>
            <w:r>
              <w:rPr>
                <w:rFonts w:ascii="宋体" w:hAnsi="宋体" w:eastAsia="宋体"/>
                <w:szCs w:val="21"/>
              </w:rPr>
              <w:t>；防护密闭门应向外开启。</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kern w:val="0"/>
                <w:szCs w:val="21"/>
              </w:rPr>
            </w:pPr>
            <w:r>
              <w:rPr>
                <w:rFonts w:ascii="宋体" w:hAnsi="宋体" w:eastAsia="宋体"/>
                <w:szCs w:val="21"/>
              </w:rPr>
              <w:t>现场观测、</w:t>
            </w:r>
            <w:r>
              <w:rPr>
                <w:rFonts w:hint="eastAsia" w:ascii="宋体" w:hAnsi="宋体" w:eastAsia="宋体"/>
                <w:szCs w:val="21"/>
              </w:rPr>
              <w:t>门扇</w:t>
            </w:r>
            <w:r>
              <w:rPr>
                <w:rFonts w:ascii="宋体" w:hAnsi="宋体" w:eastAsia="宋体"/>
                <w:szCs w:val="21"/>
              </w:rPr>
              <w:t>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4</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防护挡窗板、防护盖板设置完好，正常开启</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5</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防倒塌棚架结构完整无锈蚀损坏</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结构</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6</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混凝土损伤、变形裂缝、碳化、渗漏水、积水情况</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7</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外墙、临空墙、顶板、防护单元隔墙无影响防护功能开洞</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8</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bookmarkStart w:id="74" w:name="OLE_LINK94"/>
            <w:r>
              <w:rPr>
                <w:rFonts w:hint="eastAsia" w:ascii="宋体" w:hAnsi="宋体" w:eastAsia="宋体"/>
                <w:szCs w:val="21"/>
              </w:rPr>
              <w:t>门框墙结构完整，无影响防护功能开洞</w:t>
            </w:r>
            <w:bookmarkEnd w:id="74"/>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通风空调</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9</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消波设施（防爆波活门）设置、工况</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10</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油网滤尘器、过滤吸收器、密闭阀门（滤毒通风工程）</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现场核查核对，密闭阀门启闭操作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11</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自动排气活门（滤毒通风工程）</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12</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战时进排风机配置及运行试验</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现场核查核对，开机运行检查</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13</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压差测量装置设置</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给水排水</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14</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贮水箱设置或预留临战安装位置</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15</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洗消设施完整及平战转换条件</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电气</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16</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配电箱、控制箱箱体及元件完好</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17</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战时一级负荷蓄电池组供电时长</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18</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三种通风方式信号箱功能试验</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现场开机试验</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19</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战时照明、应急照明灯具型号、数量、安装位置符合设计要求，功能正常，可点亮。</w:t>
            </w:r>
          </w:p>
        </w:tc>
        <w:tc>
          <w:tcPr>
            <w:tcW w:w="1134" w:type="dxa"/>
            <w:tcBorders>
              <w:top w:val="nil"/>
              <w:left w:val="nil"/>
              <w:bottom w:val="single" w:color="000000" w:sz="4" w:space="0"/>
              <w:right w:val="single" w:color="000000" w:sz="4" w:space="0"/>
            </w:tcBorders>
            <w:vAlign w:val="center"/>
          </w:tcPr>
          <w:p>
            <w:pPr>
              <w:widowControl/>
              <w:jc w:val="left"/>
              <w:rPr>
                <w:rFonts w:ascii="宋体" w:hAnsi="宋体" w:eastAsia="宋体"/>
                <w:szCs w:val="21"/>
              </w:rPr>
            </w:pPr>
            <w:r>
              <w:rPr>
                <w:rFonts w:hint="eastAsia" w:ascii="宋体" w:hAnsi="宋体" w:eastAsia="宋体"/>
                <w:szCs w:val="21"/>
              </w:rPr>
              <w:t>现场核查，通电试验</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bl>
    <w:p/>
    <w:p/>
    <w:p>
      <w:pPr>
        <w:widowControl/>
        <w:jc w:val="left"/>
      </w:pPr>
      <w:r>
        <w:rPr>
          <w:rFonts w:hint="eastAsia"/>
        </w:rPr>
        <w:br w:type="page"/>
      </w:r>
    </w:p>
    <w:p>
      <w:pPr>
        <w:jc w:val="left"/>
        <w:outlineLvl w:val="0"/>
        <w:rPr>
          <w:rFonts w:ascii="仿宋" w:hAnsi="仿宋" w:eastAsia="仿宋"/>
          <w:sz w:val="28"/>
          <w:szCs w:val="28"/>
        </w:rPr>
      </w:pPr>
      <w:bookmarkStart w:id="75" w:name="_Toc239951081"/>
      <w:r>
        <w:rPr>
          <w:rFonts w:hint="eastAsia" w:ascii="仿宋" w:hAnsi="仿宋" w:eastAsia="仿宋"/>
          <w:sz w:val="28"/>
          <w:szCs w:val="28"/>
        </w:rPr>
        <w:t>附件</w:t>
      </w:r>
      <w:bookmarkEnd w:id="71"/>
      <w:r>
        <w:rPr>
          <w:rFonts w:ascii="仿宋" w:hAnsi="仿宋" w:eastAsia="仿宋"/>
          <w:sz w:val="28"/>
          <w:szCs w:val="28"/>
        </w:rPr>
        <w:t>4</w:t>
      </w:r>
      <w:bookmarkEnd w:id="75"/>
    </w:p>
    <w:tbl>
      <w:tblPr>
        <w:tblStyle w:val="6"/>
        <w:tblW w:w="8505" w:type="dxa"/>
        <w:tblInd w:w="0" w:type="dxa"/>
        <w:tblLayout w:type="autofit"/>
        <w:tblCellMar>
          <w:top w:w="0" w:type="dxa"/>
          <w:left w:w="108" w:type="dxa"/>
          <w:bottom w:w="0" w:type="dxa"/>
          <w:right w:w="108" w:type="dxa"/>
        </w:tblCellMar>
      </w:tblPr>
      <w:tblGrid>
        <w:gridCol w:w="2552"/>
        <w:gridCol w:w="5953"/>
      </w:tblGrid>
      <w:tr>
        <w:tblPrEx>
          <w:tblCellMar>
            <w:top w:w="0" w:type="dxa"/>
            <w:left w:w="108" w:type="dxa"/>
            <w:bottom w:w="0" w:type="dxa"/>
            <w:right w:w="108" w:type="dxa"/>
          </w:tblCellMar>
        </w:tblPrEx>
        <w:trPr>
          <w:trHeight w:val="720" w:hRule="atLeast"/>
        </w:trPr>
        <w:tc>
          <w:tcPr>
            <w:tcW w:w="8505" w:type="dxa"/>
            <w:gridSpan w:val="2"/>
            <w:tcBorders>
              <w:top w:val="nil"/>
              <w:left w:val="nil"/>
              <w:bottom w:val="nil"/>
              <w:right w:val="nil"/>
            </w:tcBorders>
            <w:vAlign w:val="center"/>
          </w:tcPr>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防护单元综合评估汇总表</w:t>
            </w:r>
          </w:p>
        </w:tc>
      </w:tr>
      <w:tr>
        <w:tblPrEx>
          <w:tblCellMar>
            <w:top w:w="0" w:type="dxa"/>
            <w:left w:w="108" w:type="dxa"/>
            <w:bottom w:w="0" w:type="dxa"/>
            <w:right w:w="108" w:type="dxa"/>
          </w:tblCellMar>
        </w:tblPrEx>
        <w:trPr>
          <w:trHeight w:val="600" w:hRule="atLeast"/>
        </w:trPr>
        <w:tc>
          <w:tcPr>
            <w:tcW w:w="25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防护单元编号</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统计红色项数量</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ascii="宋体" w:hAnsi="宋体" w:eastAsia="宋体" w:cs="宋体"/>
                <w:kern w:val="0"/>
                <w:szCs w:val="21"/>
              </w:rPr>
              <w:t xml:space="preserve">        </w:t>
            </w:r>
            <w:r>
              <w:rPr>
                <w:rFonts w:hint="eastAsia" w:ascii="宋体" w:hAnsi="宋体" w:eastAsia="宋体" w:cs="宋体"/>
                <w:kern w:val="0"/>
                <w:szCs w:val="21"/>
              </w:rPr>
              <w:t>条</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综合评估等级</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□绿色</w:t>
            </w:r>
            <w:r>
              <w:rPr>
                <w:rFonts w:ascii="宋体" w:hAnsi="宋体" w:eastAsia="宋体" w:cs="宋体"/>
                <w:kern w:val="0"/>
                <w:szCs w:val="21"/>
              </w:rPr>
              <w:t xml:space="preserve">                 □黄色                  □红色</w:t>
            </w:r>
          </w:p>
        </w:tc>
      </w:tr>
      <w:tr>
        <w:tblPrEx>
          <w:tblCellMar>
            <w:top w:w="0" w:type="dxa"/>
            <w:left w:w="108" w:type="dxa"/>
            <w:bottom w:w="0" w:type="dxa"/>
            <w:right w:w="108" w:type="dxa"/>
          </w:tblCellMar>
        </w:tblPrEx>
        <w:trPr>
          <w:trHeight w:val="5665"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主要问题清单</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2122"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处置建议</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评估实施单位评估人签字</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评估实施单位复核人签字</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日期</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ascii="宋体" w:hAnsi="宋体" w:eastAsia="宋体" w:cs="宋体"/>
                <w:kern w:val="0"/>
                <w:szCs w:val="21"/>
              </w:rPr>
              <w:t>____</w:t>
            </w:r>
            <w:r>
              <w:rPr>
                <w:rFonts w:hint="eastAsia" w:ascii="宋体" w:hAnsi="宋体" w:eastAsia="宋体" w:cs="宋体"/>
                <w:kern w:val="0"/>
                <w:szCs w:val="21"/>
              </w:rPr>
              <w:t>年____月____日</w:t>
            </w:r>
          </w:p>
        </w:tc>
      </w:tr>
    </w:tbl>
    <w:p/>
    <w:p/>
    <w:p>
      <w:pPr>
        <w:jc w:val="left"/>
        <w:outlineLvl w:val="0"/>
        <w:rPr>
          <w:rFonts w:ascii="仿宋" w:hAnsi="仿宋" w:eastAsia="仿宋"/>
          <w:sz w:val="28"/>
          <w:szCs w:val="28"/>
        </w:rPr>
      </w:pPr>
      <w:bookmarkStart w:id="76" w:name="_Toc239951082"/>
      <w:r>
        <w:rPr>
          <w:rFonts w:hint="eastAsia" w:ascii="仿宋" w:hAnsi="仿宋" w:eastAsia="仿宋"/>
          <w:sz w:val="28"/>
          <w:szCs w:val="28"/>
        </w:rPr>
        <w:t>附件</w:t>
      </w:r>
      <w:r>
        <w:rPr>
          <w:rFonts w:ascii="仿宋" w:hAnsi="仿宋" w:eastAsia="仿宋"/>
          <w:sz w:val="28"/>
          <w:szCs w:val="28"/>
        </w:rPr>
        <w:t>5</w:t>
      </w:r>
      <w:bookmarkEnd w:id="76"/>
    </w:p>
    <w:tbl>
      <w:tblPr>
        <w:tblStyle w:val="6"/>
        <w:tblW w:w="8789" w:type="dxa"/>
        <w:tblInd w:w="142" w:type="dxa"/>
        <w:tblLayout w:type="autofit"/>
        <w:tblCellMar>
          <w:top w:w="0" w:type="dxa"/>
          <w:left w:w="108" w:type="dxa"/>
          <w:bottom w:w="0" w:type="dxa"/>
          <w:right w:w="108" w:type="dxa"/>
        </w:tblCellMar>
      </w:tblPr>
      <w:tblGrid>
        <w:gridCol w:w="709"/>
        <w:gridCol w:w="1417"/>
        <w:gridCol w:w="1134"/>
        <w:gridCol w:w="1276"/>
        <w:gridCol w:w="1559"/>
        <w:gridCol w:w="1619"/>
        <w:gridCol w:w="1075"/>
      </w:tblGrid>
      <w:tr>
        <w:tblPrEx>
          <w:tblCellMar>
            <w:top w:w="0" w:type="dxa"/>
            <w:left w:w="108" w:type="dxa"/>
            <w:bottom w:w="0" w:type="dxa"/>
            <w:right w:w="108" w:type="dxa"/>
          </w:tblCellMar>
        </w:tblPrEx>
        <w:trPr>
          <w:trHeight w:val="720" w:hRule="atLeast"/>
        </w:trPr>
        <w:tc>
          <w:tcPr>
            <w:tcW w:w="8789" w:type="dxa"/>
            <w:gridSpan w:val="7"/>
            <w:tcBorders>
              <w:top w:val="nil"/>
              <w:left w:val="nil"/>
              <w:bottom w:val="nil"/>
              <w:right w:val="nil"/>
            </w:tcBorders>
            <w:vAlign w:val="center"/>
          </w:tcPr>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全工程防护单元汇总表</w:t>
            </w:r>
          </w:p>
        </w:tc>
      </w:tr>
      <w:tr>
        <w:tblPrEx>
          <w:tblCellMar>
            <w:top w:w="0" w:type="dxa"/>
            <w:left w:w="108" w:type="dxa"/>
            <w:bottom w:w="0" w:type="dxa"/>
            <w:right w:w="108" w:type="dxa"/>
          </w:tblCellMar>
        </w:tblPrEx>
        <w:trPr>
          <w:trHeight w:val="520" w:hRule="atLeast"/>
        </w:trPr>
        <w:tc>
          <w:tcPr>
            <w:tcW w:w="8789" w:type="dxa"/>
            <w:gridSpan w:val="7"/>
            <w:tcBorders>
              <w:top w:val="nil"/>
              <w:left w:val="nil"/>
              <w:bottom w:val="nil"/>
              <w:right w:val="nil"/>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工程名称：</w:t>
            </w:r>
            <w:r>
              <w:rPr>
                <w:rFonts w:ascii="宋体" w:hAnsi="宋体" w:eastAsia="宋体" w:cs="宋体"/>
                <w:b/>
                <w:bCs/>
                <w:kern w:val="0"/>
                <w:szCs w:val="21"/>
              </w:rPr>
              <w:t xml:space="preserve">________________________________           </w:t>
            </w:r>
            <w:r>
              <w:rPr>
                <w:rFonts w:hint="eastAsia" w:ascii="宋体" w:hAnsi="宋体" w:eastAsia="宋体" w:cs="宋体"/>
                <w:b/>
                <w:bCs/>
                <w:kern w:val="0"/>
                <w:szCs w:val="21"/>
              </w:rPr>
              <w:t>评估日期：</w:t>
            </w:r>
            <w:r>
              <w:rPr>
                <w:rFonts w:ascii="宋体" w:hAnsi="宋体" w:eastAsia="宋体" w:cs="宋体"/>
                <w:b/>
                <w:bCs/>
                <w:kern w:val="0"/>
                <w:szCs w:val="21"/>
              </w:rPr>
              <w:t>____</w:t>
            </w:r>
            <w:r>
              <w:rPr>
                <w:rFonts w:hint="eastAsia" w:ascii="宋体" w:hAnsi="宋体" w:eastAsia="宋体" w:cs="宋体"/>
                <w:b/>
                <w:bCs/>
                <w:kern w:val="0"/>
                <w:szCs w:val="21"/>
              </w:rPr>
              <w:t>年____月____日</w:t>
            </w:r>
          </w:p>
        </w:tc>
      </w:tr>
      <w:tr>
        <w:tblPrEx>
          <w:tblCellMar>
            <w:top w:w="0" w:type="dxa"/>
            <w:left w:w="108" w:type="dxa"/>
            <w:bottom w:w="0" w:type="dxa"/>
            <w:right w:w="108" w:type="dxa"/>
          </w:tblCellMar>
        </w:tblPrEx>
        <w:trPr>
          <w:trHeight w:val="72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序号</w:t>
            </w:r>
          </w:p>
        </w:tc>
        <w:tc>
          <w:tcPr>
            <w:tcW w:w="1417"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防护单元编号</w:t>
            </w:r>
          </w:p>
        </w:tc>
        <w:tc>
          <w:tcPr>
            <w:tcW w:w="1134"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单元面积（㎡）</w:t>
            </w:r>
          </w:p>
        </w:tc>
        <w:tc>
          <w:tcPr>
            <w:tcW w:w="1276"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红色项数量</w:t>
            </w:r>
          </w:p>
        </w:tc>
        <w:tc>
          <w:tcPr>
            <w:tcW w:w="1559"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综合评估等级</w:t>
            </w:r>
          </w:p>
        </w:tc>
        <w:tc>
          <w:tcPr>
            <w:tcW w:w="1619"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主要问题摘要</w:t>
            </w:r>
          </w:p>
        </w:tc>
        <w:tc>
          <w:tcPr>
            <w:tcW w:w="1075"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处置建议</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2</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3</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4</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5</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6</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7</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8</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9</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10</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1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合计</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1806" w:hRule="atLeast"/>
        </w:trPr>
        <w:tc>
          <w:tcPr>
            <w:tcW w:w="8789" w:type="dxa"/>
            <w:gridSpan w:val="7"/>
            <w:tcBorders>
              <w:top w:val="single" w:color="000000" w:sz="4" w:space="0"/>
              <w:left w:val="single" w:color="000000" w:sz="4" w:space="0"/>
              <w:bottom w:val="single" w:color="000000" w:sz="4" w:space="0"/>
              <w:right w:val="single" w:color="000000" w:sz="4" w:space="0"/>
            </w:tcBorders>
          </w:tcPr>
          <w:p>
            <w:pPr>
              <w:widowControl/>
              <w:jc w:val="left"/>
              <w:rPr>
                <w:rFonts w:ascii="宋体" w:hAnsi="宋体" w:eastAsia="宋体" w:cs="宋体"/>
                <w:b/>
                <w:bCs/>
                <w:kern w:val="0"/>
                <w:szCs w:val="21"/>
              </w:rPr>
            </w:pPr>
            <w:r>
              <w:rPr>
                <w:rFonts w:hint="eastAsia" w:ascii="宋体" w:hAnsi="宋体" w:eastAsia="宋体" w:cs="宋体"/>
                <w:b/>
                <w:bCs/>
                <w:kern w:val="0"/>
                <w:szCs w:val="21"/>
              </w:rPr>
              <w:t>全工程总体评估结论：</w:t>
            </w:r>
          </w:p>
        </w:tc>
      </w:tr>
      <w:tr>
        <w:tblPrEx>
          <w:tblCellMar>
            <w:top w:w="0" w:type="dxa"/>
            <w:left w:w="108" w:type="dxa"/>
            <w:bottom w:w="0" w:type="dxa"/>
            <w:right w:w="108" w:type="dxa"/>
          </w:tblCellMar>
        </w:tblPrEx>
        <w:trPr>
          <w:trHeight w:val="1263" w:hRule="atLeast"/>
        </w:trPr>
        <w:tc>
          <w:tcPr>
            <w:tcW w:w="3260" w:type="dxa"/>
            <w:gridSpan w:val="3"/>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评估组织单位（盖章）：</w:t>
            </w:r>
            <w:r>
              <w:rPr>
                <w:rFonts w:ascii="宋体" w:hAnsi="宋体" w:eastAsia="宋体" w:cs="宋体"/>
                <w:b/>
                <w:bCs/>
                <w:kern w:val="0"/>
                <w:szCs w:val="21"/>
              </w:rPr>
              <w:t>________________</w:t>
            </w:r>
          </w:p>
        </w:tc>
        <w:tc>
          <w:tcPr>
            <w:tcW w:w="5529"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评估实施单位（盖章）：</w:t>
            </w:r>
            <w:r>
              <w:rPr>
                <w:rFonts w:ascii="宋体" w:hAnsi="宋体" w:eastAsia="宋体" w:cs="宋体"/>
                <w:b/>
                <w:bCs/>
                <w:kern w:val="0"/>
                <w:szCs w:val="21"/>
              </w:rPr>
              <w:t>________________</w:t>
            </w:r>
          </w:p>
        </w:tc>
      </w:tr>
      <w:tr>
        <w:tblPrEx>
          <w:tblCellMar>
            <w:top w:w="0" w:type="dxa"/>
            <w:left w:w="108" w:type="dxa"/>
            <w:bottom w:w="0" w:type="dxa"/>
            <w:right w:w="108" w:type="dxa"/>
          </w:tblCellMar>
        </w:tblPrEx>
        <w:trPr>
          <w:trHeight w:val="600" w:hRule="atLeast"/>
        </w:trPr>
        <w:tc>
          <w:tcPr>
            <w:tcW w:w="8789" w:type="dxa"/>
            <w:gridSpan w:val="7"/>
            <w:tcBorders>
              <w:top w:val="single" w:color="000000" w:sz="4" w:space="0"/>
              <w:left w:val="single" w:color="000000" w:sz="4" w:space="0"/>
              <w:bottom w:val="single" w:color="000000" w:sz="4" w:space="0"/>
              <w:right w:val="single" w:color="000000" w:sz="4" w:space="0"/>
            </w:tcBorders>
            <w:noWrap/>
            <w:vAlign w:val="center"/>
          </w:tcPr>
          <w:p>
            <w:pPr>
              <w:widowControl/>
              <w:ind w:right="221"/>
              <w:jc w:val="right"/>
              <w:rPr>
                <w:rFonts w:ascii="宋体" w:hAnsi="宋体" w:eastAsia="宋体" w:cs="宋体"/>
                <w:b/>
                <w:bCs/>
                <w:kern w:val="0"/>
                <w:szCs w:val="21"/>
              </w:rPr>
            </w:pPr>
            <w:r>
              <w:rPr>
                <w:rFonts w:hint="eastAsia" w:ascii="宋体" w:hAnsi="宋体" w:eastAsia="宋体" w:cs="宋体"/>
                <w:b/>
                <w:bCs/>
                <w:kern w:val="0"/>
                <w:szCs w:val="21"/>
              </w:rPr>
              <w:t>日期：</w:t>
            </w:r>
            <w:r>
              <w:rPr>
                <w:rFonts w:ascii="宋体" w:hAnsi="宋体" w:eastAsia="宋体" w:cs="宋体"/>
                <w:b/>
                <w:bCs/>
                <w:kern w:val="0"/>
                <w:szCs w:val="21"/>
              </w:rPr>
              <w:t>____</w:t>
            </w:r>
            <w:r>
              <w:rPr>
                <w:rFonts w:hint="eastAsia" w:ascii="宋体" w:hAnsi="宋体" w:eastAsia="宋体" w:cs="宋体"/>
                <w:b/>
                <w:bCs/>
                <w:kern w:val="0"/>
                <w:szCs w:val="21"/>
              </w:rPr>
              <w:t>年</w:t>
            </w:r>
            <w:r>
              <w:rPr>
                <w:rFonts w:ascii="宋体" w:hAnsi="宋体" w:eastAsia="宋体" w:cs="宋体"/>
                <w:b/>
                <w:bCs/>
                <w:kern w:val="0"/>
                <w:szCs w:val="21"/>
              </w:rPr>
              <w:t>____</w:t>
            </w:r>
            <w:r>
              <w:rPr>
                <w:rFonts w:hint="eastAsia" w:ascii="宋体" w:hAnsi="宋体" w:eastAsia="宋体" w:cs="宋体"/>
                <w:b/>
                <w:bCs/>
                <w:kern w:val="0"/>
                <w:szCs w:val="21"/>
              </w:rPr>
              <w:t>月</w:t>
            </w:r>
            <w:r>
              <w:rPr>
                <w:rFonts w:ascii="宋体" w:hAnsi="宋体" w:eastAsia="宋体" w:cs="宋体"/>
                <w:b/>
                <w:bCs/>
                <w:kern w:val="0"/>
                <w:szCs w:val="21"/>
              </w:rPr>
              <w:t>____</w:t>
            </w:r>
            <w:r>
              <w:rPr>
                <w:rFonts w:hint="eastAsia" w:ascii="宋体" w:hAnsi="宋体" w:eastAsia="宋体" w:cs="宋体"/>
                <w:b/>
                <w:bCs/>
                <w:kern w:val="0"/>
                <w:szCs w:val="21"/>
              </w:rPr>
              <w:t>日</w:t>
            </w:r>
          </w:p>
        </w:tc>
      </w:tr>
    </w:tbl>
    <w:p/>
    <w:p/>
    <w:sectPr>
      <w:footerReference r:id="rId3" w:type="default"/>
      <w:pgSz w:w="11906" w:h="16838"/>
      <w:pgMar w:top="1440"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rPr>
      <w:id w:val="238438172"/>
    </w:sdtPr>
    <w:sdtEndPr>
      <w:rPr>
        <w:sz w:val="21"/>
      </w:rPr>
    </w:sdtEndPr>
    <w:sdtContent>
      <w:sdt>
        <w:sdtPr>
          <w:rPr>
            <w:sz w:val="21"/>
          </w:rPr>
          <w:id w:val="1196359751"/>
        </w:sdtPr>
        <w:sdtEndPr>
          <w:rPr>
            <w:sz w:val="21"/>
          </w:rPr>
        </w:sdtEndPr>
        <w:sdtContent>
          <w:p>
            <w:pPr>
              <w:pStyle w:val="3"/>
              <w:jc w:val="center"/>
              <w:rPr>
                <w:sz w:val="21"/>
              </w:rPr>
            </w:pPr>
            <w:r>
              <w:rPr>
                <w:sz w:val="21"/>
              </w:rPr>
              <w:fldChar w:fldCharType="begin"/>
            </w:r>
            <w:r>
              <w:rPr>
                <w:sz w:val="21"/>
              </w:rPr>
              <w:instrText xml:space="preserve">PAGE   \* MERGEFORMAT</w:instrText>
            </w:r>
            <w:r>
              <w:rPr>
                <w:sz w:val="21"/>
              </w:rPr>
              <w:fldChar w:fldCharType="separate"/>
            </w:r>
            <w:r>
              <w:rPr>
                <w:sz w:val="21"/>
                <w:lang w:val="zh-CN"/>
              </w:rPr>
              <w:t>7</w:t>
            </w:r>
            <w:r>
              <w:rPr>
                <w:sz w:val="21"/>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650"/>
    <w:rsid w:val="000C7EEC"/>
    <w:rsid w:val="001F4E73"/>
    <w:rsid w:val="00290B42"/>
    <w:rsid w:val="002E6650"/>
    <w:rsid w:val="0037014A"/>
    <w:rsid w:val="003C774F"/>
    <w:rsid w:val="003F2D5D"/>
    <w:rsid w:val="003F6111"/>
    <w:rsid w:val="00460815"/>
    <w:rsid w:val="00470317"/>
    <w:rsid w:val="005B5006"/>
    <w:rsid w:val="007A6C16"/>
    <w:rsid w:val="007B2F68"/>
    <w:rsid w:val="007E787E"/>
    <w:rsid w:val="00A40442"/>
    <w:rsid w:val="00BA077F"/>
    <w:rsid w:val="00BB3125"/>
    <w:rsid w:val="00BE7E6A"/>
    <w:rsid w:val="00C30781"/>
    <w:rsid w:val="00CD01BE"/>
    <w:rsid w:val="00D63B6B"/>
    <w:rsid w:val="00E55A70"/>
    <w:rsid w:val="00E56C4E"/>
    <w:rsid w:val="00EE21B7"/>
    <w:rsid w:val="00F03EF5"/>
    <w:rsid w:val="00F4300D"/>
    <w:rsid w:val="00F5404E"/>
    <w:rsid w:val="03C40ABE"/>
    <w:rsid w:val="15A90BE8"/>
    <w:rsid w:val="2119583E"/>
    <w:rsid w:val="26102F02"/>
    <w:rsid w:val="34D11437"/>
    <w:rsid w:val="3BFF904E"/>
    <w:rsid w:val="3EC6100D"/>
    <w:rsid w:val="3F2B67B3"/>
    <w:rsid w:val="3F7CD602"/>
    <w:rsid w:val="498B5A38"/>
    <w:rsid w:val="4FDE4DA1"/>
    <w:rsid w:val="505179D5"/>
    <w:rsid w:val="57FB5585"/>
    <w:rsid w:val="655E3014"/>
    <w:rsid w:val="670D4A21"/>
    <w:rsid w:val="71D36ECE"/>
    <w:rsid w:val="72384674"/>
    <w:rsid w:val="7294791E"/>
    <w:rsid w:val="CCFF5DF5"/>
    <w:rsid w:val="F2BFC0CC"/>
    <w:rsid w:val="F57F1E3E"/>
    <w:rsid w:val="FFFFF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unhideWhenUsed/>
    <w:qFormat/>
    <w:uiPriority w:val="39"/>
    <w:pPr>
      <w:tabs>
        <w:tab w:val="right" w:leader="dot" w:pos="8296"/>
      </w:tabs>
      <w:spacing w:line="440" w:lineRule="exact"/>
    </w:pPr>
  </w:style>
  <w:style w:type="character" w:styleId="8">
    <w:name w:val="Hyperlink"/>
    <w:basedOn w:val="7"/>
    <w:unhideWhenUsed/>
    <w:qFormat/>
    <w:uiPriority w:val="99"/>
    <w:rPr>
      <w:color w:val="0026E5" w:themeColor="hyperlink"/>
      <w:u w:val="single"/>
      <w14:textFill>
        <w14:solidFill>
          <w14:schemeClr w14:val="hlink"/>
        </w14:solidFill>
      </w14:textFill>
    </w:rPr>
  </w:style>
  <w:style w:type="paragraph" w:styleId="9">
    <w:name w:val="List Paragraph"/>
    <w:basedOn w:val="1"/>
    <w:qFormat/>
    <w:uiPriority w:val="34"/>
    <w:pPr>
      <w:ind w:left="720"/>
      <w:contextualSpacing/>
    </w:pPr>
  </w:style>
  <w:style w:type="character" w:customStyle="1" w:styleId="10">
    <w:name w:val="批注框文本 Char"/>
    <w:basedOn w:val="7"/>
    <w:link w:val="2"/>
    <w:qFormat/>
    <w:uiPriority w:val="0"/>
    <w:rPr>
      <w:kern w:val="2"/>
      <w:sz w:val="18"/>
      <w:szCs w:val="18"/>
    </w:rPr>
  </w:style>
  <w:style w:type="character" w:customStyle="1" w:styleId="11">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1328</Words>
  <Characters>7576</Characters>
  <Lines>63</Lines>
  <Paragraphs>17</Paragraphs>
  <TotalTime>22</TotalTime>
  <ScaleCrop>false</ScaleCrop>
  <LinksUpToDate>false</LinksUpToDate>
  <CharactersWithSpaces>8887</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2026-11-05T17:36:00Z</dcterms:created>
  <dc:creator>files</dc:creator>
  <cp:lastModifiedBy>bjsrmfkbgs</cp:lastModifiedBy>
  <cp:lastPrinted>2026-11-05T18:59:00Z</cp:lastPrinted>
  <dcterms:modified xsi:type="dcterms:W3CDTF">2026-11-05T15:18:22Z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40B5F6734D4C4BA1A63944CDBD7F1169_13</vt:lpwstr>
  </property>
</Properties>
</file>